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ТЕХНИКО – ИКОНОМИЧЕСКА ОБОСНОВКА</w:t>
      </w: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НА ПРЕДЛОЖЕНИЕ ЗА УТВЪРЖДАВАНЕ НА ПРЕФЕРЕНЦИАЛНА ЦЕНА</w:t>
      </w: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НА ЕЛЕКТРИЧЕСКА ЕНЕРГИЯ</w:t>
      </w: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ОРАНЖЕРИИ ГИМЕЛ АД</w:t>
      </w:r>
    </w:p>
    <w:p w:rsidR="00BB21DF" w:rsidRPr="006140CD" w:rsidRDefault="00BB21DF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 xml:space="preserve">ТЕЦ „ОРАНЖЕРИЯ </w:t>
      </w:r>
      <w:r>
        <w:rPr>
          <w:b/>
          <w:sz w:val="32"/>
          <w:szCs w:val="32"/>
          <w:lang w:val="bg-BG"/>
        </w:rPr>
        <w:t>5</w:t>
      </w:r>
      <w:r w:rsidRPr="006140CD">
        <w:rPr>
          <w:b/>
          <w:sz w:val="32"/>
          <w:szCs w:val="32"/>
          <w:lang w:val="bg-BG"/>
        </w:rPr>
        <w:t xml:space="preserve">00 ДКА“ </w:t>
      </w: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0D1B15" w:rsidP="003C0FAC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Март</w:t>
      </w:r>
      <w:r w:rsidR="00BB21DF" w:rsidRPr="006140CD">
        <w:rPr>
          <w:sz w:val="24"/>
          <w:szCs w:val="24"/>
          <w:lang w:val="bg-BG"/>
        </w:rPr>
        <w:t>, 201</w:t>
      </w:r>
      <w:r w:rsidR="001361B2">
        <w:rPr>
          <w:sz w:val="24"/>
          <w:szCs w:val="24"/>
        </w:rPr>
        <w:t>5</w:t>
      </w:r>
      <w:r w:rsidR="00BB21DF" w:rsidRPr="006140CD">
        <w:rPr>
          <w:sz w:val="24"/>
          <w:szCs w:val="24"/>
          <w:lang w:val="bg-BG"/>
        </w:rPr>
        <w:t xml:space="preserve">г. </w:t>
      </w: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Гр.София</w:t>
      </w:r>
    </w:p>
    <w:p w:rsidR="00BB21DF" w:rsidRPr="006140CD" w:rsidRDefault="00BB21DF">
      <w:pPr>
        <w:rPr>
          <w:sz w:val="24"/>
          <w:szCs w:val="24"/>
          <w:lang w:val="bg-BG"/>
        </w:rPr>
      </w:pPr>
    </w:p>
    <w:p w:rsidR="00BB21DF" w:rsidRPr="006140CD" w:rsidRDefault="00BB21DF">
      <w:pPr>
        <w:rPr>
          <w:sz w:val="24"/>
          <w:szCs w:val="24"/>
          <w:lang w:val="bg-BG"/>
        </w:rPr>
      </w:pPr>
    </w:p>
    <w:p w:rsidR="00BB21DF" w:rsidRPr="006140CD" w:rsidRDefault="00BB21DF">
      <w:pPr>
        <w:rPr>
          <w:sz w:val="24"/>
          <w:szCs w:val="24"/>
          <w:lang w:val="bg-BG"/>
        </w:rPr>
      </w:pPr>
    </w:p>
    <w:p w:rsidR="00BB21DF" w:rsidRPr="006140CD" w:rsidRDefault="00BB21DF" w:rsidP="009E5FB6">
      <w:pPr>
        <w:pStyle w:val="a3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BB21DF" w:rsidRPr="006140CD" w:rsidRDefault="00BB21DF" w:rsidP="00834A9E">
      <w:pPr>
        <w:pStyle w:val="a3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Актуален правен статут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е със седалище и адрес на управление гр. София 1839, район Кремиковци, кв. Враждебна, ул.”2-ра” №26А.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Адресът за кореспонденция на дружеството е гр. София, бул. “Арсеналски” №21.</w:t>
      </w:r>
    </w:p>
    <w:p w:rsidR="00BB21DF" w:rsidRPr="006140CD" w:rsidRDefault="00BB21DF" w:rsidP="00140970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Към настоящия момент Оранжерии Гимел АД е с основен капитал в размер на 2 450 000 лв. (два милиона четиристотин и петдесет хиляди.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Дружеството е с едностепенна система на управление, като членове на Съвета на директорите са: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1. Марин Петков Генуров, ЕГН 7409193504</w:t>
      </w:r>
      <w:r w:rsidRPr="006140CD">
        <w:rPr>
          <w:sz w:val="24"/>
          <w:szCs w:val="24"/>
          <w:lang w:val="bg-BG"/>
        </w:rPr>
        <w:tab/>
        <w:t>- Председател и Изп.директор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2. Елена Николаева Герганова, ЕГН 7404043034 - Зам.председател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3. Георги Петров Георгиев, ЕГН 6201019288 - член на СД 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“Оранжерии Гимел” АД се представлява заедно от всеки двама от тримата членове на Съвета на директорите.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Дружеството е регистрирано в Регистър по БУЛСТАТ с ЕИК 175479761 и има Идентификационен № по ЗДДС BG175479761.</w:t>
      </w:r>
    </w:p>
    <w:p w:rsidR="00BB21DF" w:rsidRPr="006140CD" w:rsidRDefault="00BB21DF" w:rsidP="005F5D89">
      <w:pPr>
        <w:pStyle w:val="a3"/>
        <w:ind w:left="1080"/>
        <w:rPr>
          <w:sz w:val="24"/>
          <w:szCs w:val="24"/>
          <w:lang w:val="bg-BG"/>
        </w:rPr>
      </w:pPr>
    </w:p>
    <w:p w:rsidR="00BB21DF" w:rsidRPr="006140CD" w:rsidRDefault="00BB21DF" w:rsidP="00834A9E">
      <w:pPr>
        <w:pStyle w:val="a3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Основна дейност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направления на дейността на “Оранжерии Гимел” АД към датата на изготвяне на настоящата технико – икономическа обосновка са: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производство на биологични оранжерийни плодове и зеленчуци – краставици, домати, пипер, люта чушки, салати, спанак, зърнени, ябълки и др.; 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производство на биологични подправки – магданоз, копър и босилек;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пакетиране на произведените плодове и зеленчуци в стандартни опаковки;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търговия с оранжерийни плодове и зеленчуци на международния и местния пазар;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извършване на изследователска и развойна дейност за разработката на биологични сортове;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промоциране на селскостопански производства без използването на изкуствени торове и пестициди. 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- високоефективно комбинирано производство на топлинна и електрическа енергия </w:t>
      </w:r>
    </w:p>
    <w:p w:rsidR="00BB21DF" w:rsidRPr="006140CD" w:rsidRDefault="00BB21DF" w:rsidP="00834A9E">
      <w:pPr>
        <w:pStyle w:val="a3"/>
        <w:ind w:left="1080"/>
        <w:jc w:val="both"/>
        <w:rPr>
          <w:sz w:val="24"/>
          <w:szCs w:val="24"/>
          <w:lang w:val="bg-BG"/>
        </w:rPr>
      </w:pP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осъществява дейността си в два производствени обекта:</w:t>
      </w:r>
    </w:p>
    <w:p w:rsidR="00BB21DF" w:rsidRPr="006140CD" w:rsidRDefault="00BB21DF" w:rsidP="00834A9E">
      <w:pPr>
        <w:pStyle w:val="a3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І-ви стопански двор – „Оранжерия 200 дка“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Производствен обект в І-ви стопански двор представлява оранжерия холандски тип, за производство на оранжерийни зеленчуци, находяща се в землището на с.Братаница, обл. Пазарджик. Оранжериен комплекс – І-ви стопански двор е с обща площ от 321 000 кв.м.  Основни производствени мощности са осем оранжерийни блока с обща площ от 204 600 кв.м. </w:t>
      </w:r>
    </w:p>
    <w:p w:rsidR="00BB21DF" w:rsidRPr="006140CD" w:rsidRDefault="00BB21DF" w:rsidP="00834A9E">
      <w:pPr>
        <w:pStyle w:val="a3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стопански двор – „Оранжерия 500 дка“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>Производствен комплекс /ІІ-ри стопански двор/ в землищата на.Звъничево и с.Мокрище, обл.Пазарджик. Производственият обект е разположен на площ от 775 116 кв.м. и се състои от: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120 дка – отопляема /остъклена/ площ;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104 дка – неотопляема /остъклена/ площ;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3 оранжерийни блока с площ от  90 дка – неопотляема, неостъклена площ;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2 дка отопляема оранжерийна площ за производство на биоагенти и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164 дка свободни площи (с премахната оранжерийна конструкция).  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административна сграда, складове, котелни и други обслужващи сгради. 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Двата производствени обекта на дружеството са разположени на </w:t>
      </w:r>
      <w:smartTag w:uri="urn:schemas-microsoft-com:office:smarttags" w:element="metricconverter">
        <w:smartTagPr>
          <w:attr w:name="ProductID" w:val="6,5 км"/>
        </w:smartTagPr>
        <w:r w:rsidRPr="006140CD">
          <w:rPr>
            <w:sz w:val="24"/>
            <w:szCs w:val="24"/>
            <w:lang w:val="bg-BG"/>
          </w:rPr>
          <w:t>6,5 км</w:t>
        </w:r>
      </w:smartTag>
      <w:r w:rsidRPr="006140CD">
        <w:rPr>
          <w:sz w:val="24"/>
          <w:szCs w:val="24"/>
          <w:lang w:val="bg-BG"/>
        </w:rPr>
        <w:t xml:space="preserve">. разстояние един от друг. Оранжерии Гимел АД  притежава собствен газопровод от АГРС гр.Септември, който захранва двата оранжерийни комплекса, и който е с обща дължина от </w:t>
      </w:r>
      <w:smartTag w:uri="urn:schemas-microsoft-com:office:smarttags" w:element="metricconverter">
        <w:smartTagPr>
          <w:attr w:name="ProductID" w:val="12 800 метра"/>
        </w:smartTagPr>
        <w:r w:rsidRPr="006140CD">
          <w:rPr>
            <w:sz w:val="24"/>
            <w:szCs w:val="24"/>
            <w:lang w:val="bg-BG"/>
          </w:rPr>
          <w:t>12 800 метра</w:t>
        </w:r>
      </w:smartTag>
      <w:r w:rsidRPr="006140CD">
        <w:rPr>
          <w:sz w:val="24"/>
          <w:szCs w:val="24"/>
          <w:lang w:val="bg-BG"/>
        </w:rPr>
        <w:t>.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BB21DF" w:rsidRPr="006140CD" w:rsidRDefault="00BB21DF" w:rsidP="000301B3">
      <w:pPr>
        <w:pStyle w:val="a3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BB21DF" w:rsidRPr="006140CD" w:rsidRDefault="00BB21DF" w:rsidP="000301B3">
      <w:pPr>
        <w:pStyle w:val="a3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Описание на централата</w:t>
      </w:r>
    </w:p>
    <w:p w:rsidR="00BB21DF" w:rsidRDefault="00BB21DF" w:rsidP="006D64FB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7C53DB">
        <w:rPr>
          <w:b/>
          <w:sz w:val="24"/>
          <w:szCs w:val="24"/>
          <w:lang w:val="bg-BG"/>
        </w:rPr>
        <w:t>Настоящата технико – икономическа обосновка</w:t>
      </w:r>
      <w:r>
        <w:rPr>
          <w:b/>
          <w:sz w:val="24"/>
          <w:szCs w:val="24"/>
          <w:lang w:val="bg-BG"/>
        </w:rPr>
        <w:t xml:space="preserve"> представя прогноза за ІІ-ри ценови период на енергийното стопанство в собствения оранжериен комплекс – 500 дка, находящ се в землището на с.Мокрище и с.Звъничево, а именно</w:t>
      </w:r>
      <w:r>
        <w:rPr>
          <w:sz w:val="24"/>
          <w:szCs w:val="24"/>
          <w:lang w:val="bg-BG"/>
        </w:rPr>
        <w:t xml:space="preserve">: </w:t>
      </w:r>
      <w:r>
        <w:rPr>
          <w:i/>
          <w:sz w:val="24"/>
          <w:szCs w:val="24"/>
          <w:lang w:val="bg-BG"/>
        </w:rPr>
        <w:t>Е</w:t>
      </w:r>
      <w:r w:rsidRPr="00FB6FCF">
        <w:rPr>
          <w:i/>
          <w:sz w:val="24"/>
          <w:szCs w:val="24"/>
          <w:lang w:val="bg-BG"/>
        </w:rPr>
        <w:t xml:space="preserve">ксплоатация на газобутален двигател </w:t>
      </w:r>
      <w:r w:rsidRPr="00FB6FCF">
        <w:rPr>
          <w:b/>
          <w:i/>
          <w:sz w:val="24"/>
          <w:szCs w:val="24"/>
          <w:lang w:val="bg-BG"/>
        </w:rPr>
        <w:t xml:space="preserve">Jenbacher JMS </w:t>
      </w:r>
      <w:r w:rsidRPr="00371742">
        <w:rPr>
          <w:b/>
          <w:i/>
          <w:sz w:val="24"/>
          <w:szCs w:val="24"/>
          <w:lang w:val="bg-BG"/>
        </w:rPr>
        <w:t>620 GS- N.L.</w:t>
      </w:r>
      <w:r>
        <w:rPr>
          <w:sz w:val="24"/>
          <w:szCs w:val="24"/>
          <w:lang w:val="bg-BG"/>
        </w:rPr>
        <w:t xml:space="preserve"> </w:t>
      </w:r>
      <w:r w:rsidRPr="00FB6FCF">
        <w:rPr>
          <w:i/>
          <w:sz w:val="24"/>
          <w:szCs w:val="24"/>
          <w:lang w:val="bg-BG"/>
        </w:rPr>
        <w:t xml:space="preserve">с номинална електрическа мощност от </w:t>
      </w:r>
      <w:r w:rsidRPr="00A73CDC">
        <w:rPr>
          <w:b/>
          <w:i/>
          <w:sz w:val="24"/>
          <w:szCs w:val="24"/>
          <w:lang w:val="bg-BG"/>
        </w:rPr>
        <w:t>3,044 MW</w:t>
      </w:r>
      <w:r w:rsidRPr="00FB6FCF">
        <w:rPr>
          <w:i/>
          <w:sz w:val="24"/>
          <w:szCs w:val="24"/>
          <w:lang w:val="bg-BG"/>
        </w:rPr>
        <w:t xml:space="preserve"> и </w:t>
      </w:r>
      <w:r>
        <w:rPr>
          <w:i/>
          <w:sz w:val="24"/>
          <w:szCs w:val="24"/>
          <w:lang w:val="bg-BG"/>
        </w:rPr>
        <w:t xml:space="preserve">3,035 </w:t>
      </w:r>
      <w:r>
        <w:rPr>
          <w:i/>
          <w:sz w:val="24"/>
          <w:szCs w:val="24"/>
        </w:rPr>
        <w:t>MW</w:t>
      </w:r>
      <w:r w:rsidRPr="00904A75">
        <w:rPr>
          <w:i/>
          <w:sz w:val="24"/>
          <w:szCs w:val="24"/>
          <w:lang w:val="bg-BG"/>
        </w:rPr>
        <w:t xml:space="preserve"> </w:t>
      </w:r>
      <w:r>
        <w:rPr>
          <w:i/>
          <w:sz w:val="24"/>
          <w:szCs w:val="24"/>
          <w:lang w:val="bg-BG"/>
        </w:rPr>
        <w:t xml:space="preserve">номинална топлинна мощност и </w:t>
      </w:r>
      <w:r w:rsidRPr="00FB6FCF">
        <w:rPr>
          <w:i/>
          <w:sz w:val="24"/>
          <w:szCs w:val="24"/>
          <w:lang w:val="bg-BG"/>
        </w:rPr>
        <w:t>всички съпътстващи съоръжения, площадкови мрежи и сгради за неговото нормално и максимално ефективно функциониране.</w:t>
      </w:r>
      <w:r>
        <w:rPr>
          <w:sz w:val="24"/>
          <w:szCs w:val="24"/>
          <w:lang w:val="bg-BG"/>
        </w:rPr>
        <w:t xml:space="preserve"> Основните технически характеристики на двигателя са:</w:t>
      </w:r>
    </w:p>
    <w:p w:rsidR="00BB21DF" w:rsidRPr="0090666C" w:rsidRDefault="00BB21DF" w:rsidP="006D64FB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90666C">
        <w:rPr>
          <w:lang w:val="bg-BG"/>
        </w:rPr>
        <w:t xml:space="preserve">Електрическа мощност 1 x </w:t>
      </w:r>
      <w:r>
        <w:rPr>
          <w:lang w:val="bg-BG"/>
        </w:rPr>
        <w:t>3044</w:t>
      </w:r>
      <w:r w:rsidRPr="0090666C">
        <w:rPr>
          <w:lang w:val="bg-BG"/>
        </w:rPr>
        <w:t xml:space="preserve"> </w:t>
      </w:r>
      <w:r>
        <w:t>kW</w:t>
      </w:r>
    </w:p>
    <w:p w:rsidR="00BB21DF" w:rsidRPr="0090666C" w:rsidRDefault="00BB21DF" w:rsidP="006D64FB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90666C">
        <w:rPr>
          <w:lang w:val="bg-BG"/>
        </w:rPr>
        <w:t xml:space="preserve">Топлинна мощност  1 x </w:t>
      </w:r>
      <w:r>
        <w:rPr>
          <w:lang w:val="bg-BG"/>
        </w:rPr>
        <w:t>3035</w:t>
      </w:r>
      <w:r w:rsidRPr="0090666C">
        <w:rPr>
          <w:lang w:val="bg-BG"/>
        </w:rPr>
        <w:t xml:space="preserve"> </w:t>
      </w:r>
      <w:r>
        <w:t>kW</w:t>
      </w:r>
    </w:p>
    <w:p w:rsidR="00BB21DF" w:rsidRPr="0090666C" w:rsidRDefault="00BB21DF" w:rsidP="006D64FB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90666C">
        <w:rPr>
          <w:lang w:val="bg-BG"/>
        </w:rPr>
        <w:t>Температурно ниво 70</w:t>
      </w:r>
      <w:r w:rsidRPr="0090666C">
        <w:rPr>
          <w:vertAlign w:val="superscript"/>
          <w:lang w:val="bg-BG"/>
        </w:rPr>
        <w:t xml:space="preserve"> о</w:t>
      </w:r>
      <w:r w:rsidRPr="0090666C">
        <w:rPr>
          <w:lang w:val="bg-BG"/>
        </w:rPr>
        <w:t xml:space="preserve"> - 90</w:t>
      </w:r>
      <w:r w:rsidRPr="0090666C">
        <w:rPr>
          <w:vertAlign w:val="superscript"/>
          <w:lang w:val="bg-BG"/>
        </w:rPr>
        <w:t xml:space="preserve"> о</w:t>
      </w:r>
      <w:r w:rsidRPr="0090666C">
        <w:rPr>
          <w:lang w:val="bg-BG"/>
        </w:rPr>
        <w:t xml:space="preserve"> С</w:t>
      </w:r>
    </w:p>
    <w:p w:rsidR="00BB21DF" w:rsidRPr="0090666C" w:rsidRDefault="00BB21DF" w:rsidP="006D64FB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90666C">
        <w:rPr>
          <w:lang w:val="bg-BG"/>
        </w:rPr>
        <w:t>Честота 50 Xц</w:t>
      </w:r>
    </w:p>
    <w:p w:rsidR="00BB21DF" w:rsidRPr="0090666C" w:rsidRDefault="00BB21DF" w:rsidP="006D64FB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90666C">
        <w:rPr>
          <w:lang w:val="bg-BG"/>
        </w:rPr>
        <w:t xml:space="preserve">Напрежение на тока </w:t>
      </w:r>
      <w:r>
        <w:rPr>
          <w:lang w:val="bg-BG"/>
        </w:rPr>
        <w:t>10</w:t>
      </w:r>
      <w:r w:rsidRPr="0090666C">
        <w:rPr>
          <w:lang w:val="bg-BG"/>
        </w:rPr>
        <w:t>,</w:t>
      </w:r>
      <w:r>
        <w:rPr>
          <w:lang w:val="bg-BG"/>
        </w:rPr>
        <w:t>5</w:t>
      </w:r>
      <w:r w:rsidRPr="0090666C">
        <w:rPr>
          <w:lang w:val="bg-BG"/>
        </w:rPr>
        <w:t xml:space="preserve"> к</w:t>
      </w:r>
      <w:r>
        <w:t>V</w:t>
      </w:r>
    </w:p>
    <w:p w:rsidR="00BB21DF" w:rsidRPr="0090666C" w:rsidRDefault="00BB21DF" w:rsidP="006D64FB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90666C">
        <w:rPr>
          <w:lang w:val="bg-BG"/>
        </w:rPr>
        <w:t>Емисии:</w:t>
      </w:r>
    </w:p>
    <w:p w:rsidR="00BB21DF" w:rsidRPr="0090666C" w:rsidRDefault="00BB21DF" w:rsidP="006D64FB">
      <w:pPr>
        <w:pStyle w:val="a3"/>
        <w:numPr>
          <w:ilvl w:val="2"/>
          <w:numId w:val="5"/>
        </w:numPr>
        <w:spacing w:after="0"/>
        <w:rPr>
          <w:lang w:val="bg-BG"/>
        </w:rPr>
      </w:pPr>
      <w:r w:rsidRPr="0090666C">
        <w:rPr>
          <w:lang w:val="bg-BG"/>
        </w:rPr>
        <w:t xml:space="preserve">NOx     &lt; </w:t>
      </w:r>
      <w:r>
        <w:rPr>
          <w:lang w:val="bg-BG"/>
        </w:rPr>
        <w:t>250</w:t>
      </w:r>
      <w:r w:rsidRPr="0090666C">
        <w:rPr>
          <w:lang w:val="bg-BG"/>
        </w:rPr>
        <w:t xml:space="preserve"> mg/Nm3</w:t>
      </w:r>
    </w:p>
    <w:p w:rsidR="00BB21DF" w:rsidRPr="0090666C" w:rsidRDefault="00BB21DF" w:rsidP="006D64FB">
      <w:pPr>
        <w:pStyle w:val="a3"/>
        <w:numPr>
          <w:ilvl w:val="2"/>
          <w:numId w:val="5"/>
        </w:numPr>
        <w:spacing w:after="0"/>
        <w:rPr>
          <w:lang w:val="bg-BG"/>
        </w:rPr>
      </w:pPr>
      <w:r w:rsidRPr="0090666C">
        <w:rPr>
          <w:lang w:val="bg-BG"/>
        </w:rPr>
        <w:t xml:space="preserve">CO      &lt; </w:t>
      </w:r>
      <w:r>
        <w:rPr>
          <w:lang w:val="bg-BG"/>
        </w:rPr>
        <w:t>650</w:t>
      </w:r>
      <w:r w:rsidRPr="0090666C">
        <w:rPr>
          <w:lang w:val="bg-BG"/>
        </w:rPr>
        <w:t xml:space="preserve"> mg/Nm3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BB21DF" w:rsidRPr="006140CD" w:rsidRDefault="00BB21DF" w:rsidP="00B55148">
      <w:pPr>
        <w:pStyle w:val="a3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Прогнози </w:t>
      </w:r>
    </w:p>
    <w:p w:rsidR="00BB21DF" w:rsidRPr="006140CD" w:rsidRDefault="00BB21DF" w:rsidP="008F3B56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Производствена програма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Производствената програма на ко-генерационна ТЕЦ </w:t>
      </w:r>
      <w:r>
        <w:rPr>
          <w:sz w:val="24"/>
          <w:szCs w:val="24"/>
          <w:lang w:val="bg-BG"/>
        </w:rPr>
        <w:t>500 дка</w:t>
      </w:r>
      <w:r w:rsidRPr="006140CD">
        <w:rPr>
          <w:b/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>е разработена при следните изходни параметри: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начална дата на ІІ-ри ценови период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- 01/0</w:t>
      </w:r>
      <w:r w:rsidR="009B47AA">
        <w:rPr>
          <w:sz w:val="24"/>
          <w:szCs w:val="24"/>
          <w:lang w:val="bg-BG"/>
        </w:rPr>
        <w:t>7</w:t>
      </w:r>
      <w:r w:rsidRPr="006140CD">
        <w:rPr>
          <w:sz w:val="24"/>
          <w:szCs w:val="24"/>
          <w:lang w:val="bg-BG"/>
        </w:rPr>
        <w:t>/2014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</w:t>
      </w:r>
      <w:r w:rsidRPr="006140CD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>
        <w:rPr>
          <w:sz w:val="24"/>
          <w:szCs w:val="24"/>
          <w:lang w:val="bg-BG"/>
        </w:rPr>
        <w:t>3</w:t>
      </w:r>
      <w:r w:rsidRPr="006140CD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>044</w:t>
      </w:r>
      <w:r w:rsidRPr="006140CD">
        <w:rPr>
          <w:sz w:val="24"/>
          <w:szCs w:val="24"/>
          <w:lang w:val="bg-BG"/>
        </w:rPr>
        <w:t xml:space="preserve"> МW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>
        <w:rPr>
          <w:sz w:val="24"/>
          <w:szCs w:val="24"/>
          <w:lang w:val="bg-BG"/>
        </w:rPr>
        <w:t>3</w:t>
      </w:r>
      <w:r w:rsidRPr="006140CD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>03</w:t>
      </w:r>
      <w:r w:rsidRPr="006140CD">
        <w:rPr>
          <w:sz w:val="24"/>
          <w:szCs w:val="24"/>
          <w:lang w:val="bg-BG"/>
        </w:rPr>
        <w:t>5 МW</w:t>
      </w:r>
    </w:p>
    <w:p w:rsidR="00BB21DF" w:rsidRPr="005D6BD1" w:rsidRDefault="00BB21DF" w:rsidP="005D6BD1">
      <w:pPr>
        <w:pStyle w:val="a3"/>
        <w:ind w:left="284" w:firstLine="79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собствена консумация на централата на топлинна енергия – средно 2,</w:t>
      </w:r>
      <w:r w:rsidR="00EE5F2E">
        <w:rPr>
          <w:sz w:val="24"/>
          <w:szCs w:val="24"/>
        </w:rPr>
        <w:t>80</w:t>
      </w:r>
      <w:r>
        <w:rPr>
          <w:sz w:val="24"/>
          <w:szCs w:val="24"/>
          <w:lang w:val="bg-BG"/>
        </w:rPr>
        <w:t xml:space="preserve">% </w:t>
      </w:r>
    </w:p>
    <w:p w:rsidR="009B47AA" w:rsidRDefault="009B47AA" w:rsidP="009B4E7D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EE5F2E" w:rsidRPr="00E103A7" w:rsidRDefault="009B47AA" w:rsidP="009B4E7D">
      <w:pPr>
        <w:pStyle w:val="a3"/>
        <w:ind w:left="284" w:firstLine="796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br w:type="page"/>
      </w:r>
      <w:r w:rsidR="00EE5F2E" w:rsidRPr="00E103A7">
        <w:rPr>
          <w:b/>
          <w:sz w:val="24"/>
          <w:szCs w:val="24"/>
          <w:lang w:val="bg-BG"/>
        </w:rPr>
        <w:lastRenderedPageBreak/>
        <w:t>В момента, дружеството е в процес на изграждане на ІІ-ри етап от ко- генерационна централа ТЕЦ „Оранжерия 500 дка”, който етап предвижда пускането в експлоатация през м.Август тази година на втори двигател с инсталирана ел. мощност от 0,9</w:t>
      </w:r>
      <w:r w:rsidR="00EE5F2E" w:rsidRPr="00E103A7">
        <w:rPr>
          <w:b/>
          <w:sz w:val="24"/>
          <w:szCs w:val="24"/>
        </w:rPr>
        <w:t>MW.</w:t>
      </w:r>
      <w:r w:rsidR="00EE5F2E" w:rsidRPr="00E103A7">
        <w:rPr>
          <w:b/>
          <w:sz w:val="24"/>
          <w:szCs w:val="24"/>
          <w:lang w:val="bg-BG"/>
        </w:rPr>
        <w:t xml:space="preserve"> </w:t>
      </w:r>
    </w:p>
    <w:p w:rsidR="00BB21DF" w:rsidRPr="00E103A7" w:rsidRDefault="00BB21DF" w:rsidP="009B4E7D">
      <w:pPr>
        <w:pStyle w:val="a3"/>
        <w:ind w:left="284" w:firstLine="796"/>
        <w:jc w:val="both"/>
        <w:rPr>
          <w:b/>
          <w:sz w:val="24"/>
          <w:szCs w:val="24"/>
          <w:lang w:val="bg-BG"/>
        </w:rPr>
      </w:pPr>
      <w:r w:rsidRPr="00E103A7">
        <w:rPr>
          <w:b/>
          <w:sz w:val="24"/>
          <w:szCs w:val="24"/>
          <w:lang w:val="bg-BG"/>
        </w:rPr>
        <w:t xml:space="preserve">Предвид </w:t>
      </w:r>
      <w:r w:rsidR="00EE5F2E" w:rsidRPr="00E103A7">
        <w:rPr>
          <w:b/>
          <w:sz w:val="24"/>
          <w:szCs w:val="24"/>
          <w:lang w:val="bg-BG"/>
        </w:rPr>
        <w:t xml:space="preserve">този факт, както и фактът че производствената програма на обекта през сезон 2015/2016 ще остане непроменен, прогнозното произведено количество електрическа и топлинна енергия от съществуващия двигател през новия ценови период ще е сравнително по- ниско от отчетеното през 2014 год. и почти равно на произведеното през настоящия ценови период. </w:t>
      </w:r>
    </w:p>
    <w:p w:rsidR="00BB21DF" w:rsidRPr="006140CD" w:rsidRDefault="00BB21DF" w:rsidP="002A05DC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При така зададените параметри прогнозната производствена програма на дружеството е както следва:</w:t>
      </w:r>
    </w:p>
    <w:tbl>
      <w:tblPr>
        <w:tblW w:w="964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6"/>
        <w:gridCol w:w="858"/>
        <w:gridCol w:w="884"/>
        <w:gridCol w:w="1106"/>
        <w:gridCol w:w="1198"/>
        <w:gridCol w:w="1119"/>
        <w:gridCol w:w="1040"/>
        <w:gridCol w:w="1131"/>
      </w:tblGrid>
      <w:tr w:rsidR="009B47AA" w:rsidRPr="006140CD" w:rsidTr="00DF41A8">
        <w:trPr>
          <w:trHeight w:val="408"/>
          <w:jc w:val="center"/>
        </w:trPr>
        <w:tc>
          <w:tcPr>
            <w:tcW w:w="2306" w:type="dxa"/>
            <w:shd w:val="clear" w:color="000000" w:fill="FFEB9C"/>
            <w:vAlign w:val="bottom"/>
          </w:tcPr>
          <w:p w:rsidR="009B47AA" w:rsidRPr="006140CD" w:rsidRDefault="009B47AA" w:rsidP="00004B26">
            <w:pPr>
              <w:spacing w:after="0" w:line="240" w:lineRule="auto"/>
              <w:jc w:val="center"/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  <w:t xml:space="preserve">Производствена програма </w:t>
            </w:r>
          </w:p>
        </w:tc>
        <w:tc>
          <w:tcPr>
            <w:tcW w:w="858" w:type="dxa"/>
            <w:shd w:val="clear" w:color="000000" w:fill="FFEB9C"/>
            <w:vAlign w:val="bottom"/>
          </w:tcPr>
          <w:p w:rsidR="009B47AA" w:rsidRPr="006140CD" w:rsidRDefault="009B47AA" w:rsidP="00004B26">
            <w:pPr>
              <w:spacing w:after="0" w:line="240" w:lineRule="auto"/>
              <w:jc w:val="center"/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  <w:t>мярка</w:t>
            </w:r>
          </w:p>
        </w:tc>
        <w:tc>
          <w:tcPr>
            <w:tcW w:w="884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Юли,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5</w:t>
            </w:r>
          </w:p>
        </w:tc>
        <w:tc>
          <w:tcPr>
            <w:tcW w:w="1106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Август,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5</w:t>
            </w:r>
          </w:p>
        </w:tc>
        <w:tc>
          <w:tcPr>
            <w:tcW w:w="1198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Септември,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5</w:t>
            </w:r>
          </w:p>
        </w:tc>
        <w:tc>
          <w:tcPr>
            <w:tcW w:w="1119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Октомври,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5</w:t>
            </w:r>
          </w:p>
        </w:tc>
        <w:tc>
          <w:tcPr>
            <w:tcW w:w="1040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Ноември,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5</w:t>
            </w:r>
          </w:p>
        </w:tc>
        <w:tc>
          <w:tcPr>
            <w:tcW w:w="1131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Декември,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5</w:t>
            </w:r>
          </w:p>
        </w:tc>
      </w:tr>
      <w:tr w:rsidR="00E103A7" w:rsidRPr="006140CD" w:rsidTr="00E103A7">
        <w:trPr>
          <w:trHeight w:val="188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Произведено количество ел.енергия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1 080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720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720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1 440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1 944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2 160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Произведено количество топлинна енергия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1 071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714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714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1 428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1 927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2 141</w:t>
            </w:r>
          </w:p>
        </w:tc>
      </w:tr>
      <w:tr w:rsidR="00E103A7" w:rsidRPr="006140CD" w:rsidTr="00E103A7">
        <w:trPr>
          <w:trHeight w:val="290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59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41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42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75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98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108</w:t>
            </w:r>
          </w:p>
        </w:tc>
      </w:tr>
      <w:tr w:rsidR="00E103A7" w:rsidRPr="006140CD" w:rsidTr="00E103A7">
        <w:trPr>
          <w:trHeight w:val="247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5,47%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5,77%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5,89%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5,25%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5,10%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5,04%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топлинна енергия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30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20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20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40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54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60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топлинна енергия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</w:tr>
      <w:tr w:rsidR="00E103A7" w:rsidRPr="006140CD" w:rsidTr="00E103A7">
        <w:trPr>
          <w:trHeight w:val="236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Продадено количество ел.енергия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1 021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679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678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1 365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1 846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2 052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306" w:type="dxa"/>
            <w:vAlign w:val="bottom"/>
          </w:tcPr>
          <w:p w:rsidR="00E103A7" w:rsidRPr="006140CD" w:rsidRDefault="00E103A7" w:rsidP="00004B26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Отпусната топлинна енергия от централата</w:t>
            </w:r>
          </w:p>
        </w:tc>
        <w:tc>
          <w:tcPr>
            <w:tcW w:w="858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1 041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694</w:t>
            </w:r>
          </w:p>
        </w:tc>
        <w:tc>
          <w:tcPr>
            <w:tcW w:w="1198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694</w:t>
            </w:r>
          </w:p>
        </w:tc>
        <w:tc>
          <w:tcPr>
            <w:tcW w:w="1119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1 388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1 873</w:t>
            </w:r>
          </w:p>
        </w:tc>
        <w:tc>
          <w:tcPr>
            <w:tcW w:w="113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2 081</w:t>
            </w:r>
          </w:p>
        </w:tc>
      </w:tr>
    </w:tbl>
    <w:p w:rsidR="00BB21DF" w:rsidRPr="006140CD" w:rsidRDefault="00BB21DF" w:rsidP="00004B26">
      <w:pPr>
        <w:pStyle w:val="a3"/>
        <w:ind w:left="284"/>
        <w:jc w:val="both"/>
        <w:rPr>
          <w:sz w:val="24"/>
          <w:szCs w:val="24"/>
          <w:lang w:val="bg-BG"/>
        </w:rPr>
      </w:pPr>
    </w:p>
    <w:tbl>
      <w:tblPr>
        <w:tblW w:w="10429" w:type="dxa"/>
        <w:jc w:val="center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45"/>
        <w:gridCol w:w="764"/>
        <w:gridCol w:w="884"/>
        <w:gridCol w:w="1106"/>
        <w:gridCol w:w="992"/>
        <w:gridCol w:w="984"/>
        <w:gridCol w:w="1040"/>
        <w:gridCol w:w="953"/>
        <w:gridCol w:w="961"/>
      </w:tblGrid>
      <w:tr w:rsidR="00A82279" w:rsidRPr="006140CD" w:rsidTr="00E103A7">
        <w:trPr>
          <w:trHeight w:val="630"/>
          <w:jc w:val="center"/>
        </w:trPr>
        <w:tc>
          <w:tcPr>
            <w:tcW w:w="2745" w:type="dxa"/>
            <w:shd w:val="clear" w:color="000000" w:fill="FFEB9C"/>
            <w:vAlign w:val="bottom"/>
          </w:tcPr>
          <w:p w:rsidR="009B47AA" w:rsidRPr="006140CD" w:rsidRDefault="009B47AA" w:rsidP="00187AFD">
            <w:pPr>
              <w:spacing w:after="0" w:line="240" w:lineRule="auto"/>
              <w:jc w:val="center"/>
              <w:rPr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b/>
                <w:bCs/>
                <w:color w:val="494529"/>
                <w:sz w:val="20"/>
                <w:szCs w:val="20"/>
                <w:lang w:val="bg-BG"/>
              </w:rPr>
              <w:t xml:space="preserve">Производствена програма </w:t>
            </w:r>
          </w:p>
        </w:tc>
        <w:tc>
          <w:tcPr>
            <w:tcW w:w="764" w:type="dxa"/>
            <w:shd w:val="clear" w:color="000000" w:fill="FFEB9C"/>
            <w:vAlign w:val="bottom"/>
          </w:tcPr>
          <w:p w:rsidR="009B47AA" w:rsidRPr="006140CD" w:rsidRDefault="009B47AA" w:rsidP="00187AFD">
            <w:pPr>
              <w:spacing w:after="0" w:line="240" w:lineRule="auto"/>
              <w:jc w:val="center"/>
              <w:rPr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b/>
                <w:bCs/>
                <w:color w:val="494529"/>
                <w:sz w:val="20"/>
                <w:szCs w:val="20"/>
                <w:lang w:val="bg-BG"/>
              </w:rPr>
              <w:t>мярка</w:t>
            </w:r>
          </w:p>
        </w:tc>
        <w:tc>
          <w:tcPr>
            <w:tcW w:w="884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Януари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06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Февруари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992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Март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984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Април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040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Май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953" w:type="dxa"/>
            <w:shd w:val="clear" w:color="000000" w:fill="FFEB9C"/>
            <w:vAlign w:val="bottom"/>
          </w:tcPr>
          <w:p w:rsidR="009B47AA" w:rsidRPr="006140CD" w:rsidRDefault="009B47AA" w:rsidP="00F902F9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Юни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F902F9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961" w:type="dxa"/>
            <w:shd w:val="clear" w:color="000000" w:fill="FDE9D9" w:themeFill="accent6" w:themeFillTint="33"/>
            <w:vAlign w:val="bottom"/>
          </w:tcPr>
          <w:p w:rsidR="009B47AA" w:rsidRPr="006140CD" w:rsidRDefault="009B47AA" w:rsidP="00A82279">
            <w:pPr>
              <w:spacing w:after="0" w:line="240" w:lineRule="auto"/>
              <w:jc w:val="center"/>
              <w:rPr>
                <w:b/>
                <w:bCs/>
                <w:color w:val="006100"/>
                <w:sz w:val="20"/>
                <w:szCs w:val="20"/>
                <w:lang w:val="bg-BG"/>
              </w:rPr>
            </w:pPr>
            <w:r w:rsidRPr="006140CD">
              <w:rPr>
                <w:b/>
                <w:bCs/>
                <w:color w:val="006100"/>
                <w:sz w:val="20"/>
                <w:szCs w:val="20"/>
                <w:lang w:val="bg-BG"/>
              </w:rPr>
              <w:t xml:space="preserve">ОБЩО 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Произведено количество ел.енергия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2 160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1 800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2 160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1 872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1 080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0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17 136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Произведено количество топлинна енергия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2 141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1 784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2 141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1 856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1 071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0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16 987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108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92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108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95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58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9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893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5,06%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5,14%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5,04%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5,12%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5,45%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#DIV/0!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 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топлинна енергия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60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50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60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52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30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0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476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топлинна енергия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sz w:val="20"/>
                <w:szCs w:val="20"/>
                <w:lang w:val="bg-BG"/>
              </w:rPr>
              <w:t>2,80%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 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Продадено количество ел.енергия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2 052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1 708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2 052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1 777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1 022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-9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16 243</w:t>
            </w:r>
          </w:p>
        </w:tc>
      </w:tr>
      <w:tr w:rsidR="00E103A7" w:rsidRPr="006140CD" w:rsidTr="00E103A7">
        <w:trPr>
          <w:trHeight w:val="510"/>
          <w:jc w:val="center"/>
        </w:trPr>
        <w:tc>
          <w:tcPr>
            <w:tcW w:w="2745" w:type="dxa"/>
            <w:vAlign w:val="bottom"/>
          </w:tcPr>
          <w:p w:rsidR="00E103A7" w:rsidRPr="006140CD" w:rsidRDefault="00E103A7" w:rsidP="00187AFD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Отпусната топлинна енергия от централата</w:t>
            </w:r>
          </w:p>
        </w:tc>
        <w:tc>
          <w:tcPr>
            <w:tcW w:w="764" w:type="dxa"/>
            <w:noWrap/>
            <w:vAlign w:val="center"/>
          </w:tcPr>
          <w:p w:rsidR="00E103A7" w:rsidRPr="006140CD" w:rsidRDefault="00E103A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</w:p>
        </w:tc>
        <w:tc>
          <w:tcPr>
            <w:tcW w:w="8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2 081</w:t>
            </w:r>
          </w:p>
        </w:tc>
        <w:tc>
          <w:tcPr>
            <w:tcW w:w="1106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1 734</w:t>
            </w:r>
          </w:p>
        </w:tc>
        <w:tc>
          <w:tcPr>
            <w:tcW w:w="992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2 081</w:t>
            </w:r>
          </w:p>
        </w:tc>
        <w:tc>
          <w:tcPr>
            <w:tcW w:w="984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1 804</w:t>
            </w:r>
          </w:p>
        </w:tc>
        <w:tc>
          <w:tcPr>
            <w:tcW w:w="1040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1 041</w:t>
            </w:r>
          </w:p>
        </w:tc>
        <w:tc>
          <w:tcPr>
            <w:tcW w:w="953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61" w:type="dxa"/>
            <w:noWrap/>
            <w:vAlign w:val="center"/>
          </w:tcPr>
          <w:p w:rsidR="00E103A7" w:rsidRPr="00E103A7" w:rsidRDefault="00E103A7" w:rsidP="00E103A7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/>
              </w:rPr>
            </w:pPr>
            <w:r w:rsidRPr="00E103A7">
              <w:rPr>
                <w:rFonts w:cs="Arial"/>
                <w:b/>
                <w:sz w:val="20"/>
                <w:szCs w:val="20"/>
                <w:lang w:val="bg-BG"/>
              </w:rPr>
              <w:t>16 512</w:t>
            </w:r>
          </w:p>
        </w:tc>
      </w:tr>
    </w:tbl>
    <w:p w:rsidR="00BB21DF" w:rsidRPr="006140CD" w:rsidRDefault="00BB21DF" w:rsidP="00187AFD">
      <w:pPr>
        <w:pStyle w:val="a3"/>
        <w:ind w:left="0"/>
        <w:jc w:val="both"/>
        <w:rPr>
          <w:sz w:val="24"/>
          <w:szCs w:val="24"/>
          <w:lang w:val="bg-BG"/>
        </w:rPr>
      </w:pPr>
    </w:p>
    <w:p w:rsidR="00BB21DF" w:rsidRPr="006140CD" w:rsidRDefault="00BB21DF" w:rsidP="00A05B01">
      <w:pPr>
        <w:pStyle w:val="a3"/>
        <w:ind w:left="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ab/>
      </w:r>
      <w:r w:rsidRPr="006140CD">
        <w:rPr>
          <w:sz w:val="24"/>
          <w:szCs w:val="24"/>
          <w:lang w:val="bg-BG"/>
        </w:rPr>
        <w:tab/>
      </w:r>
    </w:p>
    <w:p w:rsidR="00BB21DF" w:rsidRPr="006140CD" w:rsidRDefault="00BB21DF" w:rsidP="00444652">
      <w:pPr>
        <w:pStyle w:val="a3"/>
        <w:keepNext/>
        <w:keepLines/>
        <w:numPr>
          <w:ilvl w:val="1"/>
          <w:numId w:val="4"/>
        </w:numPr>
        <w:ind w:left="1797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Инвестиционна програма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Общата стойност на активите, участващи в Регулаторната база на активите при определяне на преференциална цена на комбинирана електрическа енергия за </w:t>
      </w:r>
      <w:smartTag w:uri="urn:schemas-microsoft-com:office:smarttags" w:element="metricconverter">
        <w:smartTagPr>
          <w:attr w:name="ProductID" w:val="2014 г"/>
        </w:smartTagPr>
        <w:r w:rsidRPr="006140CD">
          <w:rPr>
            <w:sz w:val="24"/>
            <w:szCs w:val="24"/>
            <w:lang w:val="bg-BG"/>
          </w:rPr>
          <w:t>2014 г</w:t>
        </w:r>
      </w:smartTag>
      <w:r w:rsidRPr="006140CD">
        <w:rPr>
          <w:sz w:val="24"/>
          <w:szCs w:val="24"/>
          <w:lang w:val="bg-BG"/>
        </w:rPr>
        <w:t xml:space="preserve">. е в размер на </w:t>
      </w:r>
      <w:r w:rsidR="00DF1647">
        <w:rPr>
          <w:sz w:val="24"/>
          <w:szCs w:val="24"/>
          <w:lang w:val="bg-BG"/>
        </w:rPr>
        <w:t>6 827,092</w:t>
      </w:r>
      <w:r w:rsidRPr="006140CD">
        <w:rPr>
          <w:sz w:val="24"/>
          <w:szCs w:val="24"/>
          <w:lang w:val="bg-BG"/>
        </w:rPr>
        <w:t xml:space="preserve"> хил.лв., в т.ч.:</w:t>
      </w:r>
    </w:p>
    <w:p w:rsidR="00BB21DF" w:rsidRPr="006140CD" w:rsidRDefault="00BB21DF" w:rsidP="00EF7C18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20 хил.лв. – приблизителна стойност на земята, върху която са изградени сгради, съоръжения, инсталации и площадкови мрежи;</w:t>
      </w:r>
    </w:p>
    <w:p w:rsidR="00BB21DF" w:rsidRDefault="00BB21DF" w:rsidP="00EF7C18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</w:t>
      </w:r>
      <w:r w:rsidR="00DF1647">
        <w:rPr>
          <w:sz w:val="24"/>
          <w:szCs w:val="24"/>
          <w:lang w:val="bg-BG"/>
        </w:rPr>
        <w:t>72,657</w:t>
      </w:r>
      <w:r w:rsidR="002B02F2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>хил.лв.</w:t>
      </w:r>
      <w:r w:rsidR="00532429">
        <w:rPr>
          <w:sz w:val="24"/>
          <w:szCs w:val="24"/>
          <w:lang w:val="bg-BG"/>
        </w:rPr>
        <w:t xml:space="preserve"> </w:t>
      </w:r>
      <w:r w:rsidR="00DF1647">
        <w:rPr>
          <w:sz w:val="24"/>
          <w:szCs w:val="24"/>
          <w:lang w:val="bg-BG"/>
        </w:rPr>
        <w:t>–</w:t>
      </w:r>
      <w:r w:rsidRPr="006140CD">
        <w:rPr>
          <w:sz w:val="24"/>
          <w:szCs w:val="24"/>
          <w:lang w:val="bg-BG"/>
        </w:rPr>
        <w:t xml:space="preserve"> </w:t>
      </w:r>
      <w:r w:rsidR="00DF1647">
        <w:rPr>
          <w:sz w:val="24"/>
          <w:szCs w:val="24"/>
          <w:lang w:val="bg-BG"/>
        </w:rPr>
        <w:t xml:space="preserve">35,6% от </w:t>
      </w:r>
      <w:r w:rsidRPr="006140CD">
        <w:rPr>
          <w:sz w:val="24"/>
          <w:szCs w:val="24"/>
          <w:lang w:val="bg-BG"/>
        </w:rPr>
        <w:t xml:space="preserve">остатъчната стойност по инвентарна книга към 31.12.2013г. на </w:t>
      </w:r>
      <w:r w:rsidR="00516323">
        <w:rPr>
          <w:sz w:val="24"/>
          <w:szCs w:val="24"/>
          <w:lang w:val="bg-BG"/>
        </w:rPr>
        <w:t xml:space="preserve">съответната част от </w:t>
      </w:r>
      <w:r w:rsidRPr="006140CD">
        <w:rPr>
          <w:sz w:val="24"/>
          <w:szCs w:val="24"/>
          <w:lang w:val="bg-BG"/>
        </w:rPr>
        <w:t>изграден газопровод, со</w:t>
      </w:r>
      <w:r w:rsidR="00DF1647">
        <w:rPr>
          <w:sz w:val="24"/>
          <w:szCs w:val="24"/>
          <w:lang w:val="bg-BG"/>
        </w:rPr>
        <w:t>бственост на Оранжерии Гимел АД, приета за отчетна стойност на актива към датата на завеждане в експлоатация на ТЕЦ Оранжерия 500 дка;</w:t>
      </w:r>
    </w:p>
    <w:p w:rsidR="00DF1647" w:rsidRDefault="00DF1647" w:rsidP="00EF7C18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239,804 хил. лв. отчетна стойност на сградите;</w:t>
      </w:r>
    </w:p>
    <w:p w:rsidR="00DF1647" w:rsidRPr="006140CD" w:rsidRDefault="00DF1647" w:rsidP="00EF7C18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6 294,630 хил.лв. – отчетна стойност на машини, съоръжения и оборудване. </w:t>
      </w: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BB21DF" w:rsidRPr="006140CD" w:rsidRDefault="00BB21DF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BB21DF" w:rsidRDefault="00BB21DF" w:rsidP="006B7FD4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инвентарна книга към 31.12.201</w:t>
      </w:r>
      <w:r w:rsidR="00DF1647">
        <w:rPr>
          <w:sz w:val="24"/>
          <w:szCs w:val="24"/>
          <w:lang w:val="bg-BG"/>
        </w:rPr>
        <w:t>4</w:t>
      </w:r>
      <w:r w:rsidRPr="006140CD">
        <w:rPr>
          <w:sz w:val="24"/>
          <w:szCs w:val="24"/>
          <w:lang w:val="bg-BG"/>
        </w:rPr>
        <w:t>г.</w:t>
      </w:r>
      <w:r w:rsidR="0009240A">
        <w:rPr>
          <w:sz w:val="24"/>
          <w:szCs w:val="24"/>
          <w:lang w:val="bg-BG"/>
        </w:rPr>
        <w:t xml:space="preserve"> на ТЕЦ 500 дка</w:t>
      </w:r>
    </w:p>
    <w:p w:rsidR="0009240A" w:rsidRPr="006140CD" w:rsidRDefault="0009240A" w:rsidP="006B7FD4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инвентарна книга </w:t>
      </w:r>
      <w:r w:rsidR="001E362F">
        <w:rPr>
          <w:sz w:val="24"/>
          <w:szCs w:val="24"/>
          <w:lang w:val="bg-BG"/>
        </w:rPr>
        <w:t>към 31.12.201</w:t>
      </w:r>
      <w:r w:rsidR="00DF1647">
        <w:rPr>
          <w:sz w:val="24"/>
          <w:szCs w:val="24"/>
          <w:lang w:val="bg-BG"/>
        </w:rPr>
        <w:t>4</w:t>
      </w:r>
      <w:r w:rsidR="001E362F">
        <w:rPr>
          <w:sz w:val="24"/>
          <w:szCs w:val="24"/>
          <w:lang w:val="bg-BG"/>
        </w:rPr>
        <w:t xml:space="preserve">г. </w:t>
      </w:r>
      <w:r>
        <w:rPr>
          <w:sz w:val="24"/>
          <w:szCs w:val="24"/>
          <w:lang w:val="bg-BG"/>
        </w:rPr>
        <w:t>на съществуващи газопроводи.</w:t>
      </w:r>
    </w:p>
    <w:p w:rsidR="00BB21DF" w:rsidRPr="006140CD" w:rsidRDefault="00BB21DF" w:rsidP="006B7FD4">
      <w:pPr>
        <w:pStyle w:val="a3"/>
        <w:ind w:left="1440"/>
        <w:jc w:val="both"/>
        <w:rPr>
          <w:sz w:val="24"/>
          <w:szCs w:val="24"/>
          <w:lang w:val="bg-BG"/>
        </w:rPr>
      </w:pPr>
    </w:p>
    <w:p w:rsidR="00BB21DF" w:rsidRPr="006140CD" w:rsidRDefault="00BB21DF" w:rsidP="00AB1FE7">
      <w:pPr>
        <w:pStyle w:val="a3"/>
        <w:ind w:left="0"/>
        <w:jc w:val="both"/>
        <w:rPr>
          <w:sz w:val="24"/>
          <w:szCs w:val="24"/>
          <w:lang w:val="bg-BG"/>
        </w:rPr>
      </w:pPr>
    </w:p>
    <w:p w:rsidR="00BB21DF" w:rsidRPr="006140CD" w:rsidRDefault="00BB21DF" w:rsidP="00AB1FE7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Амортизационна програма на I-ви етап </w:t>
      </w:r>
    </w:p>
    <w:p w:rsidR="00BB21DF" w:rsidRPr="006140CD" w:rsidRDefault="00BB21DF" w:rsidP="00AB1FE7">
      <w:pPr>
        <w:pStyle w:val="a3"/>
        <w:jc w:val="both"/>
        <w:rPr>
          <w:sz w:val="24"/>
          <w:szCs w:val="24"/>
          <w:lang w:val="bg-BG"/>
        </w:rPr>
      </w:pPr>
    </w:p>
    <w:p w:rsidR="00BB21DF" w:rsidRPr="006140CD" w:rsidRDefault="00BB21DF" w:rsidP="00AB1FE7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години, като единствено съществуващия газопровод, изграден преди реализирането на ТЕЦ </w:t>
      </w:r>
      <w:r>
        <w:rPr>
          <w:sz w:val="24"/>
          <w:szCs w:val="24"/>
          <w:lang w:val="bg-BG"/>
        </w:rPr>
        <w:t>5</w:t>
      </w:r>
      <w:r w:rsidRPr="006140CD">
        <w:rPr>
          <w:sz w:val="24"/>
          <w:szCs w:val="24"/>
          <w:lang w:val="bg-BG"/>
        </w:rPr>
        <w:t>00 дка, е с прогнозна АН от 4%. При изчисляване на регулаторната база на активите за стойност на активите е взета прогнозната балансова /остатъчна/ стойност на активите на дружеството.</w:t>
      </w:r>
    </w:p>
    <w:p w:rsidR="00BB21DF" w:rsidRPr="006140CD" w:rsidRDefault="00BB21DF" w:rsidP="00AB1FE7">
      <w:pPr>
        <w:pStyle w:val="a3"/>
        <w:ind w:left="0"/>
        <w:jc w:val="both"/>
        <w:rPr>
          <w:sz w:val="24"/>
          <w:szCs w:val="24"/>
          <w:lang w:val="bg-BG"/>
        </w:rPr>
      </w:pPr>
    </w:p>
    <w:p w:rsidR="00BB21DF" w:rsidRPr="006140CD" w:rsidRDefault="00BB21DF" w:rsidP="007C4D11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Ремонтна програма </w:t>
      </w:r>
    </w:p>
    <w:p w:rsidR="00BB21DF" w:rsidRPr="006140CD" w:rsidRDefault="00BB21DF" w:rsidP="00AB1FE7">
      <w:pPr>
        <w:pStyle w:val="a3"/>
        <w:ind w:left="0"/>
        <w:jc w:val="both"/>
        <w:rPr>
          <w:sz w:val="24"/>
          <w:szCs w:val="24"/>
          <w:lang w:val="bg-BG"/>
        </w:rPr>
      </w:pPr>
    </w:p>
    <w:p w:rsidR="00BB21DF" w:rsidRPr="006140CD" w:rsidRDefault="00BB21DF" w:rsidP="007C595F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Разходите за ремонт са изчислени на база прогнозни часове на работа на двигател</w:t>
      </w:r>
      <w:r>
        <w:rPr>
          <w:sz w:val="24"/>
          <w:szCs w:val="24"/>
          <w:lang w:val="bg-BG"/>
        </w:rPr>
        <w:t>я</w:t>
      </w:r>
      <w:r w:rsidRPr="006140CD">
        <w:rPr>
          <w:sz w:val="24"/>
          <w:szCs w:val="24"/>
          <w:lang w:val="bg-BG"/>
        </w:rPr>
        <w:t xml:space="preserve"> съгласно сключени договори с фирма </w:t>
      </w:r>
      <w:r w:rsidRPr="006140CD">
        <w:rPr>
          <w:b/>
          <w:sz w:val="24"/>
          <w:szCs w:val="24"/>
          <w:lang w:val="bg-BG"/>
        </w:rPr>
        <w:t>Hubauer Anlagenbau GmbH, Австрия</w:t>
      </w:r>
      <w:r w:rsidRPr="006140CD">
        <w:rPr>
          <w:sz w:val="24"/>
          <w:szCs w:val="24"/>
          <w:lang w:val="bg-BG"/>
        </w:rPr>
        <w:t xml:space="preserve"> за ремонт, превантивна и последваща поддръжка на газобутален двигател </w:t>
      </w:r>
      <w:r w:rsidRPr="006140CD">
        <w:rPr>
          <w:b/>
          <w:sz w:val="24"/>
          <w:szCs w:val="24"/>
          <w:lang w:val="bg-BG"/>
        </w:rPr>
        <w:t>Jenbacher JMS 6</w:t>
      </w:r>
      <w:r>
        <w:rPr>
          <w:b/>
          <w:sz w:val="24"/>
          <w:szCs w:val="24"/>
          <w:lang w:val="bg-BG"/>
        </w:rPr>
        <w:t>20</w:t>
      </w:r>
      <w:r w:rsidRPr="006140CD">
        <w:rPr>
          <w:b/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>от 0 до 59 999 моточаса на двигателя</w:t>
      </w:r>
      <w:r>
        <w:rPr>
          <w:sz w:val="24"/>
          <w:szCs w:val="24"/>
          <w:lang w:val="bg-BG"/>
        </w:rPr>
        <w:t xml:space="preserve"> с</w:t>
      </w:r>
      <w:r w:rsidRPr="006140CD">
        <w:rPr>
          <w:sz w:val="24"/>
          <w:szCs w:val="24"/>
          <w:lang w:val="bg-BG"/>
        </w:rPr>
        <w:t xml:space="preserve"> цена за поддръжка и ремонт за 1 час работа на </w:t>
      </w:r>
      <w:r>
        <w:rPr>
          <w:sz w:val="24"/>
          <w:szCs w:val="24"/>
          <w:lang w:val="bg-BG"/>
        </w:rPr>
        <w:t xml:space="preserve">ко-генератора </w:t>
      </w:r>
      <w:r w:rsidRPr="006140CD">
        <w:rPr>
          <w:sz w:val="24"/>
          <w:szCs w:val="24"/>
          <w:lang w:val="bg-BG"/>
        </w:rPr>
        <w:t>-   1</w:t>
      </w:r>
      <w:r>
        <w:rPr>
          <w:sz w:val="24"/>
          <w:szCs w:val="24"/>
          <w:lang w:val="bg-BG"/>
        </w:rPr>
        <w:t>8</w:t>
      </w:r>
      <w:r w:rsidRPr="006140CD">
        <w:rPr>
          <w:sz w:val="24"/>
          <w:szCs w:val="24"/>
          <w:lang w:val="bg-BG"/>
        </w:rPr>
        <w:t xml:space="preserve"> евро/ч.</w:t>
      </w:r>
    </w:p>
    <w:p w:rsidR="00BB21DF" w:rsidRPr="006140CD" w:rsidRDefault="00BB21DF" w:rsidP="00864BA0">
      <w:pPr>
        <w:pStyle w:val="a3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ab/>
        <w:t>В цената на поддръжката влиза: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текуща поддръжка (извън гаранцията), в т.ч.: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труд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пътуване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ab/>
        <w:t>- разходи за части и материали на всички превантивни поддръжки на всеки 2000 и 6000 часа.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оригинални глави на цилиндъра и свещи;</w:t>
      </w:r>
    </w:p>
    <w:p w:rsidR="00BB21DF" w:rsidRPr="006140CD" w:rsidRDefault="00BB21DF" w:rsidP="003A7E25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междинен ремонт на 30 000 часа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мониторинг на първите 2 000 часа;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наблюдение от разстояние;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обучение на персонала.</w:t>
      </w:r>
    </w:p>
    <w:p w:rsidR="00BB21DF" w:rsidRPr="006140CD" w:rsidRDefault="00BB21DF" w:rsidP="005E271D">
      <w:pPr>
        <w:pStyle w:val="a3"/>
        <w:ind w:firstLine="720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В цената на поддръжката не влиза:</w:t>
      </w:r>
    </w:p>
    <w:p w:rsidR="00BB21DF" w:rsidRPr="006140CD" w:rsidRDefault="00BB21DF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BB21DF" w:rsidRPr="006140CD" w:rsidRDefault="00BB21DF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поддръжка и смяна на свещи;</w:t>
      </w:r>
    </w:p>
    <w:p w:rsidR="00BB21DF" w:rsidRPr="006140CD" w:rsidRDefault="00BB21DF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др. консумативи;</w:t>
      </w:r>
    </w:p>
    <w:p w:rsidR="00BB21DF" w:rsidRPr="006140CD" w:rsidRDefault="00BB21DF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провеждане на инспекции.</w:t>
      </w:r>
    </w:p>
    <w:p w:rsidR="00BB21DF" w:rsidRPr="006140CD" w:rsidRDefault="00BB21DF" w:rsidP="00864BA0">
      <w:pPr>
        <w:pStyle w:val="a3"/>
        <w:jc w:val="both"/>
        <w:rPr>
          <w:sz w:val="24"/>
          <w:szCs w:val="24"/>
          <w:lang w:val="bg-BG"/>
        </w:rPr>
      </w:pPr>
    </w:p>
    <w:p w:rsidR="00BB21DF" w:rsidRPr="006140CD" w:rsidRDefault="00BB21DF" w:rsidP="003B429F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Променливи разходи </w:t>
      </w:r>
    </w:p>
    <w:p w:rsidR="00BB21DF" w:rsidRPr="006140CD" w:rsidRDefault="00BB21DF" w:rsidP="009D26CE">
      <w:pPr>
        <w:pStyle w:val="a3"/>
        <w:ind w:firstLine="720"/>
        <w:jc w:val="both"/>
        <w:rPr>
          <w:sz w:val="24"/>
          <w:szCs w:val="24"/>
          <w:lang w:val="bg-BG"/>
        </w:rPr>
      </w:pPr>
      <w:r w:rsidRPr="00F9199A">
        <w:rPr>
          <w:sz w:val="24"/>
          <w:szCs w:val="24"/>
          <w:lang w:val="bg-BG"/>
        </w:rPr>
        <w:t xml:space="preserve">Променливите разходи за работа на ТЕЦ Оранжерия 500 дка през </w:t>
      </w:r>
      <w:r w:rsidR="007C6B19">
        <w:rPr>
          <w:sz w:val="24"/>
          <w:szCs w:val="24"/>
          <w:lang w:val="bg-BG"/>
        </w:rPr>
        <w:t>следващия</w:t>
      </w:r>
      <w:r w:rsidRPr="00F9199A">
        <w:rPr>
          <w:sz w:val="24"/>
          <w:szCs w:val="24"/>
          <w:lang w:val="bg-BG"/>
        </w:rPr>
        <w:t xml:space="preserve"> ценови период, са изчислени при начална дата на ценови период - 01/</w:t>
      </w:r>
      <w:r w:rsidR="007C6B19">
        <w:rPr>
          <w:sz w:val="24"/>
          <w:szCs w:val="24"/>
          <w:lang w:val="bg-BG"/>
        </w:rPr>
        <w:t>07</w:t>
      </w:r>
      <w:r w:rsidRPr="00F9199A">
        <w:rPr>
          <w:sz w:val="24"/>
          <w:szCs w:val="24"/>
          <w:lang w:val="bg-BG"/>
        </w:rPr>
        <w:t>/201</w:t>
      </w:r>
      <w:r w:rsidR="00B633DD">
        <w:rPr>
          <w:sz w:val="24"/>
          <w:szCs w:val="24"/>
          <w:lang w:val="bg-BG"/>
        </w:rPr>
        <w:t>5</w:t>
      </w:r>
      <w:r w:rsidRPr="00F9199A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 xml:space="preserve"> и са както следва:</w:t>
      </w:r>
    </w:p>
    <w:p w:rsidR="00BB21DF" w:rsidRPr="006140CD" w:rsidRDefault="00BB21DF" w:rsidP="00F8762A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разход на природен газ, при цена на природния газ от </w:t>
      </w:r>
      <w:r w:rsidR="00B633DD">
        <w:rPr>
          <w:sz w:val="24"/>
          <w:szCs w:val="24"/>
          <w:lang w:val="bg-BG"/>
        </w:rPr>
        <w:t>523,72</w:t>
      </w:r>
      <w:r w:rsidRPr="006140CD">
        <w:rPr>
          <w:sz w:val="24"/>
          <w:szCs w:val="24"/>
          <w:lang w:val="bg-BG"/>
        </w:rPr>
        <w:t>лв./knm3:</w:t>
      </w:r>
    </w:p>
    <w:tbl>
      <w:tblPr>
        <w:tblW w:w="990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3"/>
        <w:gridCol w:w="1134"/>
        <w:gridCol w:w="1020"/>
        <w:gridCol w:w="1195"/>
        <w:gridCol w:w="1198"/>
        <w:gridCol w:w="1131"/>
        <w:gridCol w:w="1040"/>
        <w:gridCol w:w="1131"/>
      </w:tblGrid>
      <w:tr w:rsidR="00536583" w:rsidRPr="006140CD" w:rsidTr="004E5A6A">
        <w:trPr>
          <w:trHeight w:val="630"/>
          <w:jc w:val="center"/>
        </w:trPr>
        <w:tc>
          <w:tcPr>
            <w:tcW w:w="2053" w:type="dxa"/>
            <w:vAlign w:val="bottom"/>
          </w:tcPr>
          <w:p w:rsidR="00536583" w:rsidRPr="004E5A6A" w:rsidRDefault="00536583" w:rsidP="00F8762A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bg-BG" w:eastAsia="zh-CN"/>
              </w:rPr>
            </w:pPr>
          </w:p>
        </w:tc>
        <w:tc>
          <w:tcPr>
            <w:tcW w:w="1134" w:type="dxa"/>
            <w:vAlign w:val="bottom"/>
          </w:tcPr>
          <w:p w:rsidR="00536583" w:rsidRPr="004E5A6A" w:rsidRDefault="00536583" w:rsidP="00F8762A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1020" w:type="dxa"/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Юли, 2015</w:t>
            </w:r>
          </w:p>
        </w:tc>
        <w:tc>
          <w:tcPr>
            <w:tcW w:w="1195" w:type="dxa"/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Август, 2015</w:t>
            </w:r>
          </w:p>
        </w:tc>
        <w:tc>
          <w:tcPr>
            <w:tcW w:w="1198" w:type="dxa"/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Септември, 2015</w:t>
            </w:r>
          </w:p>
        </w:tc>
        <w:tc>
          <w:tcPr>
            <w:tcW w:w="1131" w:type="dxa"/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Октомври, 2015</w:t>
            </w:r>
          </w:p>
        </w:tc>
        <w:tc>
          <w:tcPr>
            <w:tcW w:w="1040" w:type="dxa"/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Ноември, 2015</w:t>
            </w:r>
          </w:p>
        </w:tc>
        <w:tc>
          <w:tcPr>
            <w:tcW w:w="1131" w:type="dxa"/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Декември, 2015</w:t>
            </w:r>
          </w:p>
        </w:tc>
      </w:tr>
      <w:tr w:rsidR="004E5A6A" w:rsidRPr="006140CD" w:rsidTr="004E5A6A">
        <w:trPr>
          <w:trHeight w:val="255"/>
          <w:jc w:val="center"/>
        </w:trPr>
        <w:tc>
          <w:tcPr>
            <w:tcW w:w="2053" w:type="dxa"/>
            <w:vAlign w:val="bottom"/>
          </w:tcPr>
          <w:p w:rsidR="004E5A6A" w:rsidRPr="004E5A6A" w:rsidRDefault="004E5A6A" w:rsidP="00F8762A">
            <w:pPr>
              <w:spacing w:after="0" w:line="240" w:lineRule="auto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1134" w:type="dxa"/>
            <w:noWrap/>
            <w:vAlign w:val="bottom"/>
          </w:tcPr>
          <w:p w:rsidR="004E5A6A" w:rsidRPr="004E5A6A" w:rsidRDefault="004E5A6A" w:rsidP="00F8762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хил.н.к.м.</w:t>
            </w:r>
          </w:p>
        </w:tc>
        <w:tc>
          <w:tcPr>
            <w:tcW w:w="1020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302</w:t>
            </w:r>
          </w:p>
        </w:tc>
        <w:tc>
          <w:tcPr>
            <w:tcW w:w="1195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202</w:t>
            </w:r>
          </w:p>
        </w:tc>
        <w:tc>
          <w:tcPr>
            <w:tcW w:w="1198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202</w:t>
            </w:r>
          </w:p>
        </w:tc>
        <w:tc>
          <w:tcPr>
            <w:tcW w:w="1131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403</w:t>
            </w:r>
          </w:p>
        </w:tc>
        <w:tc>
          <w:tcPr>
            <w:tcW w:w="1040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544</w:t>
            </w:r>
          </w:p>
        </w:tc>
        <w:tc>
          <w:tcPr>
            <w:tcW w:w="1131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605</w:t>
            </w:r>
          </w:p>
        </w:tc>
      </w:tr>
      <w:tr w:rsidR="004E5A6A" w:rsidRPr="006140CD" w:rsidTr="004E5A6A">
        <w:trPr>
          <w:trHeight w:val="255"/>
          <w:jc w:val="center"/>
        </w:trPr>
        <w:tc>
          <w:tcPr>
            <w:tcW w:w="2053" w:type="dxa"/>
            <w:vAlign w:val="bottom"/>
          </w:tcPr>
          <w:p w:rsidR="004E5A6A" w:rsidRPr="004E5A6A" w:rsidRDefault="004E5A6A" w:rsidP="00F8762A">
            <w:pPr>
              <w:spacing w:after="0" w:line="240" w:lineRule="auto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Разход за природен газ</w:t>
            </w:r>
          </w:p>
        </w:tc>
        <w:tc>
          <w:tcPr>
            <w:tcW w:w="1134" w:type="dxa"/>
            <w:noWrap/>
            <w:vAlign w:val="bottom"/>
          </w:tcPr>
          <w:p w:rsidR="004E5A6A" w:rsidRPr="004E5A6A" w:rsidRDefault="004E5A6A" w:rsidP="00F8762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хил.лв.</w:t>
            </w:r>
          </w:p>
        </w:tc>
        <w:tc>
          <w:tcPr>
            <w:tcW w:w="1020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158</w:t>
            </w:r>
          </w:p>
        </w:tc>
        <w:tc>
          <w:tcPr>
            <w:tcW w:w="1195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106</w:t>
            </w:r>
          </w:p>
        </w:tc>
        <w:tc>
          <w:tcPr>
            <w:tcW w:w="1198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106</w:t>
            </w:r>
          </w:p>
        </w:tc>
        <w:tc>
          <w:tcPr>
            <w:tcW w:w="1131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211</w:t>
            </w:r>
          </w:p>
        </w:tc>
        <w:tc>
          <w:tcPr>
            <w:tcW w:w="1040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285</w:t>
            </w:r>
          </w:p>
        </w:tc>
        <w:tc>
          <w:tcPr>
            <w:tcW w:w="1131" w:type="dxa"/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317</w:t>
            </w:r>
          </w:p>
        </w:tc>
      </w:tr>
    </w:tbl>
    <w:p w:rsidR="00BB21DF" w:rsidRPr="006140CD" w:rsidRDefault="00BB21DF" w:rsidP="00F8762A">
      <w:pPr>
        <w:pStyle w:val="a3"/>
        <w:ind w:left="1080"/>
        <w:jc w:val="both"/>
        <w:rPr>
          <w:sz w:val="24"/>
          <w:szCs w:val="24"/>
          <w:lang w:val="bg-BG"/>
        </w:rPr>
      </w:pPr>
    </w:p>
    <w:tbl>
      <w:tblPr>
        <w:tblW w:w="10453" w:type="dxa"/>
        <w:jc w:val="center"/>
        <w:tblInd w:w="93" w:type="dxa"/>
        <w:tblLook w:val="00A0"/>
      </w:tblPr>
      <w:tblGrid>
        <w:gridCol w:w="1718"/>
        <w:gridCol w:w="902"/>
        <w:gridCol w:w="884"/>
        <w:gridCol w:w="1106"/>
        <w:gridCol w:w="1296"/>
        <w:gridCol w:w="1379"/>
        <w:gridCol w:w="1123"/>
        <w:gridCol w:w="1223"/>
        <w:gridCol w:w="822"/>
      </w:tblGrid>
      <w:tr w:rsidR="00536583" w:rsidRPr="006140CD" w:rsidTr="004E5A6A">
        <w:trPr>
          <w:trHeight w:val="630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583" w:rsidRPr="004E5A6A" w:rsidRDefault="00536583" w:rsidP="00C70AB2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bg-BG" w:eastAsia="zh-C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6583" w:rsidRPr="004E5A6A" w:rsidRDefault="00536583" w:rsidP="00C70AB2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Януари, 2016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Февруари, 2016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Март, 2016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Април, 2016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Май, 2016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4E5A6A">
              <w:rPr>
                <w:color w:val="494529"/>
                <w:sz w:val="20"/>
                <w:szCs w:val="20"/>
                <w:lang w:val="bg-BG"/>
              </w:rPr>
              <w:t>Юни, 2016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:rsidR="00536583" w:rsidRPr="004E5A6A" w:rsidRDefault="00536583" w:rsidP="00157970">
            <w:pPr>
              <w:spacing w:after="0" w:line="240" w:lineRule="auto"/>
              <w:jc w:val="center"/>
              <w:rPr>
                <w:b/>
                <w:bCs/>
                <w:color w:val="006100"/>
                <w:sz w:val="20"/>
                <w:szCs w:val="20"/>
                <w:lang w:val="bg-BG"/>
              </w:rPr>
            </w:pPr>
            <w:r w:rsidRPr="004E5A6A">
              <w:rPr>
                <w:b/>
                <w:bCs/>
                <w:color w:val="006100"/>
                <w:sz w:val="20"/>
                <w:szCs w:val="20"/>
                <w:lang w:val="bg-BG"/>
              </w:rPr>
              <w:t xml:space="preserve">ОБЩО </w:t>
            </w:r>
          </w:p>
        </w:tc>
      </w:tr>
      <w:tr w:rsidR="004E5A6A" w:rsidRPr="006140CD" w:rsidTr="004E5A6A">
        <w:trPr>
          <w:trHeight w:val="25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6A" w:rsidRPr="004E5A6A" w:rsidRDefault="004E5A6A" w:rsidP="00C70AB2">
            <w:pPr>
              <w:spacing w:after="0" w:line="240" w:lineRule="auto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A6A" w:rsidRPr="004E5A6A" w:rsidRDefault="004E5A6A" w:rsidP="00C70AB2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х.н.к.м.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605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504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605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524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302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b/>
                <w:sz w:val="20"/>
                <w:szCs w:val="20"/>
                <w:lang w:val="bg-BG" w:eastAsia="zh-CN"/>
              </w:rPr>
              <w:t>4 798</w:t>
            </w:r>
          </w:p>
        </w:tc>
      </w:tr>
      <w:tr w:rsidR="004E5A6A" w:rsidRPr="006140CD" w:rsidTr="004E5A6A">
        <w:trPr>
          <w:trHeight w:val="25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6A" w:rsidRPr="004E5A6A" w:rsidRDefault="004E5A6A" w:rsidP="00C70AB2">
            <w:pPr>
              <w:spacing w:after="0" w:line="240" w:lineRule="auto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Разход за природен газ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A6A" w:rsidRPr="004E5A6A" w:rsidRDefault="004E5A6A" w:rsidP="00C70AB2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хил.лв.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317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317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275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158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sz w:val="20"/>
                <w:szCs w:val="20"/>
                <w:lang w:val="bg-BG" w:eastAsia="zh-C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A6A" w:rsidRPr="004E5A6A" w:rsidRDefault="004E5A6A" w:rsidP="004E5A6A">
            <w:pPr>
              <w:spacing w:after="0" w:line="240" w:lineRule="auto"/>
              <w:jc w:val="right"/>
              <w:rPr>
                <w:rFonts w:cs="Arial"/>
                <w:b/>
                <w:sz w:val="20"/>
                <w:szCs w:val="20"/>
                <w:lang w:val="bg-BG" w:eastAsia="zh-CN"/>
              </w:rPr>
            </w:pPr>
            <w:r w:rsidRPr="004E5A6A">
              <w:rPr>
                <w:rFonts w:cs="Arial"/>
                <w:b/>
                <w:sz w:val="20"/>
                <w:szCs w:val="20"/>
                <w:lang w:val="bg-BG" w:eastAsia="zh-CN"/>
              </w:rPr>
              <w:t>2 513</w:t>
            </w:r>
          </w:p>
        </w:tc>
      </w:tr>
    </w:tbl>
    <w:p w:rsidR="00BB21DF" w:rsidRPr="006140CD" w:rsidRDefault="00BB21DF" w:rsidP="00F8762A">
      <w:pPr>
        <w:pStyle w:val="a3"/>
        <w:ind w:left="1080"/>
        <w:jc w:val="both"/>
        <w:rPr>
          <w:sz w:val="24"/>
          <w:szCs w:val="24"/>
          <w:lang w:val="bg-BG"/>
        </w:rPr>
      </w:pPr>
    </w:p>
    <w:p w:rsidR="00BB21DF" w:rsidRPr="006140CD" w:rsidRDefault="00BB21DF" w:rsidP="00F8762A">
      <w:pPr>
        <w:pStyle w:val="a3"/>
        <w:ind w:left="1080"/>
        <w:jc w:val="both"/>
        <w:rPr>
          <w:sz w:val="24"/>
          <w:szCs w:val="24"/>
          <w:lang w:val="bg-BG"/>
        </w:rPr>
      </w:pPr>
    </w:p>
    <w:p w:rsidR="00BB21DF" w:rsidRPr="006140CD" w:rsidRDefault="00BB21DF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разход за консумативи (масло, грес, вкл. труд)</w:t>
      </w:r>
      <w:r w:rsidRPr="006140CD">
        <w:rPr>
          <w:sz w:val="24"/>
          <w:szCs w:val="24"/>
          <w:lang w:val="bg-BG"/>
        </w:rPr>
        <w:tab/>
        <w:t xml:space="preserve">- </w:t>
      </w:r>
      <w:r w:rsidR="004E5A6A">
        <w:rPr>
          <w:sz w:val="24"/>
          <w:szCs w:val="24"/>
          <w:lang w:val="bg-BG"/>
        </w:rPr>
        <w:t>43</w:t>
      </w:r>
      <w:r w:rsidRPr="006140CD">
        <w:rPr>
          <w:sz w:val="24"/>
          <w:szCs w:val="24"/>
          <w:lang w:val="bg-BG"/>
        </w:rPr>
        <w:t xml:space="preserve"> хил.лв. </w:t>
      </w:r>
    </w:p>
    <w:p w:rsidR="00BB21DF" w:rsidRPr="006140CD" w:rsidRDefault="00BB21DF" w:rsidP="003864BD">
      <w:pPr>
        <w:pStyle w:val="a3"/>
        <w:ind w:left="216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/изчислени на база часове работа на двигателя/</w:t>
      </w:r>
    </w:p>
    <w:p w:rsidR="00BB21DF" w:rsidRPr="006140CD" w:rsidRDefault="00BB21DF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разход за вода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 </w:t>
      </w:r>
      <w:r>
        <w:rPr>
          <w:sz w:val="24"/>
          <w:szCs w:val="24"/>
          <w:lang w:val="bg-BG"/>
        </w:rPr>
        <w:t xml:space="preserve">  </w:t>
      </w:r>
      <w:r w:rsidR="004E5A6A">
        <w:rPr>
          <w:sz w:val="24"/>
          <w:szCs w:val="24"/>
          <w:lang w:val="bg-BG"/>
        </w:rPr>
        <w:t>3</w:t>
      </w:r>
      <w:r w:rsidRPr="006140CD">
        <w:rPr>
          <w:sz w:val="24"/>
          <w:szCs w:val="24"/>
          <w:lang w:val="bg-BG"/>
        </w:rPr>
        <w:t xml:space="preserve"> хил.лв.</w:t>
      </w:r>
    </w:p>
    <w:p w:rsidR="00BB21DF" w:rsidRDefault="00BB21DF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разход за ел.енергия</w:t>
      </w:r>
      <w:r w:rsidRPr="006140CD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   </w:t>
      </w:r>
      <w:r w:rsidR="004E5A6A">
        <w:rPr>
          <w:sz w:val="24"/>
          <w:szCs w:val="24"/>
          <w:lang w:val="bg-BG"/>
        </w:rPr>
        <w:t>1</w:t>
      </w:r>
      <w:r w:rsidRPr="006140CD">
        <w:rPr>
          <w:sz w:val="24"/>
          <w:szCs w:val="24"/>
          <w:lang w:val="bg-BG"/>
        </w:rPr>
        <w:t xml:space="preserve"> хил.лв.</w:t>
      </w:r>
    </w:p>
    <w:p w:rsidR="002B0235" w:rsidRPr="006140CD" w:rsidRDefault="002B0235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разходи за външни услуги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-    </w:t>
      </w:r>
      <w:r w:rsidR="004E5A6A">
        <w:rPr>
          <w:sz w:val="24"/>
          <w:szCs w:val="24"/>
          <w:lang w:val="bg-BG"/>
        </w:rPr>
        <w:t>4</w:t>
      </w:r>
      <w:r>
        <w:rPr>
          <w:sz w:val="24"/>
          <w:szCs w:val="24"/>
          <w:lang w:val="bg-BG"/>
        </w:rPr>
        <w:t xml:space="preserve"> хил.лв.</w:t>
      </w:r>
    </w:p>
    <w:p w:rsidR="00BB21DF" w:rsidRPr="006140CD" w:rsidRDefault="00BB21DF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разходи за акциз на природен газ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 w:rsidR="004E5A6A">
        <w:rPr>
          <w:sz w:val="24"/>
          <w:szCs w:val="24"/>
          <w:lang w:val="bg-BG"/>
        </w:rPr>
        <w:t>108</w:t>
      </w:r>
      <w:r w:rsidRPr="006140CD">
        <w:rPr>
          <w:sz w:val="24"/>
          <w:szCs w:val="24"/>
          <w:lang w:val="bg-BG"/>
        </w:rPr>
        <w:t xml:space="preserve"> хил.лв.</w:t>
      </w:r>
    </w:p>
    <w:p w:rsidR="00BB21DF" w:rsidRPr="006140CD" w:rsidRDefault="00BB21DF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разходи за емисии на СО2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 w:rsidR="004E5A6A">
        <w:rPr>
          <w:sz w:val="24"/>
          <w:szCs w:val="24"/>
          <w:lang w:val="bg-BG"/>
        </w:rPr>
        <w:t>97</w:t>
      </w:r>
      <w:r w:rsidRPr="006140CD">
        <w:rPr>
          <w:sz w:val="24"/>
          <w:szCs w:val="24"/>
          <w:lang w:val="bg-BG"/>
        </w:rPr>
        <w:t xml:space="preserve"> хил.лв. </w:t>
      </w:r>
    </w:p>
    <w:p w:rsidR="00BB21DF" w:rsidRPr="006140CD" w:rsidRDefault="00BB21DF" w:rsidP="00453931">
      <w:pPr>
        <w:pStyle w:val="a3"/>
        <w:ind w:left="216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/</w:t>
      </w:r>
      <w:r>
        <w:rPr>
          <w:sz w:val="24"/>
          <w:szCs w:val="24"/>
          <w:lang w:val="bg-BG"/>
        </w:rPr>
        <w:t>3 9</w:t>
      </w:r>
      <w:r w:rsidR="004D59B7">
        <w:rPr>
          <w:sz w:val="24"/>
          <w:szCs w:val="24"/>
          <w:lang w:val="bg-BG"/>
        </w:rPr>
        <w:t>58</w:t>
      </w:r>
      <w:r w:rsidRPr="006140CD">
        <w:rPr>
          <w:sz w:val="24"/>
          <w:szCs w:val="24"/>
          <w:lang w:val="bg-BG"/>
        </w:rPr>
        <w:t xml:space="preserve"> х.м.3 * 1,87 * 12,32лв.*0,6</w:t>
      </w:r>
      <w:r>
        <w:rPr>
          <w:sz w:val="24"/>
          <w:szCs w:val="24"/>
          <w:lang w:val="bg-BG"/>
        </w:rPr>
        <w:t>5</w:t>
      </w:r>
      <w:r w:rsidR="004D59B7">
        <w:rPr>
          <w:sz w:val="24"/>
          <w:szCs w:val="24"/>
          <w:lang w:val="bg-BG"/>
        </w:rPr>
        <w:t>25</w:t>
      </w:r>
      <w:r w:rsidRPr="006140CD">
        <w:rPr>
          <w:sz w:val="24"/>
          <w:szCs w:val="24"/>
          <w:lang w:val="bg-BG"/>
        </w:rPr>
        <w:t>/</w:t>
      </w:r>
    </w:p>
    <w:p w:rsidR="00BB21DF" w:rsidRPr="006140CD" w:rsidRDefault="00BB21DF" w:rsidP="00FD3D54">
      <w:pPr>
        <w:pStyle w:val="a3"/>
        <w:jc w:val="both"/>
        <w:rPr>
          <w:lang w:val="bg-BG"/>
        </w:rPr>
      </w:pPr>
    </w:p>
    <w:p w:rsidR="00BB21DF" w:rsidRPr="006140CD" w:rsidRDefault="00BB21DF" w:rsidP="00FD3D54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Условно – постоянни разходи </w:t>
      </w:r>
    </w:p>
    <w:p w:rsidR="00BB21DF" w:rsidRPr="006140CD" w:rsidRDefault="00BB21DF" w:rsidP="0062098B">
      <w:pPr>
        <w:pStyle w:val="a3"/>
        <w:ind w:firstLine="360"/>
        <w:jc w:val="both"/>
        <w:rPr>
          <w:lang w:val="bg-BG"/>
        </w:rPr>
      </w:pPr>
      <w:r w:rsidRPr="006140CD">
        <w:rPr>
          <w:lang w:val="bg-BG"/>
        </w:rPr>
        <w:lastRenderedPageBreak/>
        <w:t xml:space="preserve">През втори ценови период от дейността на когенерационната инсталация, са заложени следните прогнозни условно – постоянни разходи при работа на </w:t>
      </w:r>
      <w:bookmarkStart w:id="0" w:name="_GoBack"/>
      <w:bookmarkEnd w:id="0"/>
      <w:r w:rsidRPr="006140CD">
        <w:rPr>
          <w:lang w:val="bg-BG"/>
        </w:rPr>
        <w:t>ко-генератора:</w:t>
      </w:r>
    </w:p>
    <w:p w:rsidR="00BB21DF" w:rsidRPr="006140CD" w:rsidRDefault="00BB21DF" w:rsidP="0062098B">
      <w:pPr>
        <w:pStyle w:val="a3"/>
        <w:ind w:firstLine="360"/>
        <w:jc w:val="both"/>
        <w:rPr>
          <w:lang w:val="bg-BG"/>
        </w:rPr>
      </w:pPr>
      <w:r w:rsidRPr="006140CD">
        <w:rPr>
          <w:lang w:val="bg-BG"/>
        </w:rPr>
        <w:tab/>
        <w:t>- разходи за амортизация (1/15 от стойността на амортизируемите активи, с изключение на стар газопровод, който се амортиз</w:t>
      </w:r>
      <w:r>
        <w:rPr>
          <w:lang w:val="bg-BG"/>
        </w:rPr>
        <w:t>ир</w:t>
      </w:r>
      <w:r w:rsidRPr="006140CD">
        <w:rPr>
          <w:lang w:val="bg-BG"/>
        </w:rPr>
        <w:t>а с АН=4%)</w:t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 xml:space="preserve">- </w:t>
      </w:r>
      <w:r w:rsidR="004E5A6A">
        <w:rPr>
          <w:lang w:val="bg-BG"/>
        </w:rPr>
        <w:t>452</w:t>
      </w:r>
      <w:r w:rsidRPr="006140CD">
        <w:rPr>
          <w:lang w:val="bg-BG"/>
        </w:rPr>
        <w:t xml:space="preserve"> хил.лв.</w:t>
      </w:r>
    </w:p>
    <w:p w:rsidR="00BB21DF" w:rsidRPr="006140CD" w:rsidRDefault="00BB21DF" w:rsidP="0062098B">
      <w:pPr>
        <w:pStyle w:val="a3"/>
        <w:ind w:firstLine="360"/>
        <w:jc w:val="both"/>
        <w:rPr>
          <w:lang w:val="bg-BG"/>
        </w:rPr>
      </w:pPr>
      <w:r w:rsidRPr="006140CD">
        <w:rPr>
          <w:lang w:val="bg-BG"/>
        </w:rPr>
        <w:t xml:space="preserve"> </w:t>
      </w:r>
      <w:r w:rsidRPr="006140CD">
        <w:rPr>
          <w:lang w:val="bg-BG"/>
        </w:rPr>
        <w:tab/>
        <w:t>- разходи за ремонт (съгласно описано в ремонтна програма)</w:t>
      </w:r>
      <w:r w:rsidRPr="006140CD">
        <w:rPr>
          <w:lang w:val="bg-BG"/>
        </w:rPr>
        <w:tab/>
      </w:r>
      <w:r w:rsidRPr="006140CD">
        <w:rPr>
          <w:lang w:val="bg-BG"/>
        </w:rPr>
        <w:tab/>
        <w:t xml:space="preserve">- </w:t>
      </w:r>
      <w:r w:rsidR="004E5A6A">
        <w:rPr>
          <w:lang w:val="bg-BG"/>
        </w:rPr>
        <w:t>201</w:t>
      </w:r>
      <w:r w:rsidRPr="006140CD">
        <w:rPr>
          <w:lang w:val="bg-BG"/>
        </w:rPr>
        <w:t xml:space="preserve"> хил.лв.</w:t>
      </w:r>
    </w:p>
    <w:p w:rsidR="00BB21DF" w:rsidRPr="006140CD" w:rsidRDefault="00BB21DF" w:rsidP="0062098B">
      <w:pPr>
        <w:pStyle w:val="a3"/>
        <w:ind w:firstLine="360"/>
        <w:jc w:val="both"/>
        <w:rPr>
          <w:lang w:val="bg-BG"/>
        </w:rPr>
      </w:pPr>
      <w:r w:rsidRPr="006140CD">
        <w:rPr>
          <w:lang w:val="bg-BG"/>
        </w:rPr>
        <w:tab/>
        <w:t>- разходи за заплати (при средно-списъчен персонал - 1</w:t>
      </w:r>
      <w:r>
        <w:rPr>
          <w:lang w:val="bg-BG"/>
        </w:rPr>
        <w:t>2</w:t>
      </w:r>
      <w:r w:rsidRPr="006140CD">
        <w:rPr>
          <w:lang w:val="bg-BG"/>
        </w:rPr>
        <w:t xml:space="preserve"> души)</w:t>
      </w:r>
      <w:r w:rsidRPr="006140CD">
        <w:rPr>
          <w:lang w:val="bg-BG"/>
        </w:rPr>
        <w:tab/>
      </w:r>
      <w:r w:rsidRPr="006140CD">
        <w:rPr>
          <w:lang w:val="bg-BG"/>
        </w:rPr>
        <w:tab/>
        <w:t>- 1</w:t>
      </w:r>
      <w:r w:rsidR="004E5A6A">
        <w:rPr>
          <w:lang w:val="bg-BG"/>
        </w:rPr>
        <w:t>30</w:t>
      </w:r>
      <w:r w:rsidRPr="006140CD">
        <w:rPr>
          <w:lang w:val="bg-BG"/>
        </w:rPr>
        <w:t xml:space="preserve"> хил. лв.</w:t>
      </w:r>
    </w:p>
    <w:p w:rsidR="00BB21DF" w:rsidRPr="006140CD" w:rsidRDefault="00BB21DF" w:rsidP="0062098B">
      <w:pPr>
        <w:pStyle w:val="a3"/>
        <w:ind w:firstLine="360"/>
        <w:jc w:val="both"/>
        <w:rPr>
          <w:lang w:val="bg-BG"/>
        </w:rPr>
      </w:pPr>
      <w:r w:rsidRPr="006140CD">
        <w:rPr>
          <w:lang w:val="bg-BG"/>
        </w:rPr>
        <w:tab/>
        <w:t>- разходи за соц.осигуровки</w:t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-    2</w:t>
      </w:r>
      <w:r w:rsidR="004E5A6A">
        <w:rPr>
          <w:lang w:val="bg-BG"/>
        </w:rPr>
        <w:t>6</w:t>
      </w:r>
      <w:r w:rsidRPr="006140CD">
        <w:rPr>
          <w:lang w:val="bg-BG"/>
        </w:rPr>
        <w:t xml:space="preserve"> хил.лв.</w:t>
      </w:r>
    </w:p>
    <w:p w:rsidR="00BB21DF" w:rsidRPr="006140CD" w:rsidRDefault="00BB21DF" w:rsidP="003A4CF8">
      <w:pPr>
        <w:pStyle w:val="a3"/>
        <w:ind w:firstLine="360"/>
        <w:jc w:val="both"/>
        <w:rPr>
          <w:lang w:val="bg-BG"/>
        </w:rPr>
      </w:pPr>
      <w:r w:rsidRPr="006140CD">
        <w:rPr>
          <w:lang w:val="bg-BG"/>
        </w:rPr>
        <w:tab/>
        <w:t>- разходи, пряко свързани с регулираната дейност</w:t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 xml:space="preserve">- </w:t>
      </w:r>
      <w:r>
        <w:rPr>
          <w:lang w:val="bg-BG"/>
        </w:rPr>
        <w:t>1</w:t>
      </w:r>
      <w:r w:rsidR="004E5A6A">
        <w:rPr>
          <w:lang w:val="bg-BG"/>
        </w:rPr>
        <w:t>40</w:t>
      </w:r>
      <w:r w:rsidRPr="006140CD">
        <w:rPr>
          <w:lang w:val="bg-BG"/>
        </w:rPr>
        <w:t xml:space="preserve"> хил.лв., в т.ч.:</w:t>
      </w:r>
      <w:r w:rsidRPr="006140CD">
        <w:rPr>
          <w:sz w:val="24"/>
          <w:szCs w:val="24"/>
          <w:lang w:val="bg-BG"/>
        </w:rPr>
        <w:t xml:space="preserve"> </w:t>
      </w:r>
    </w:p>
    <w:p w:rsidR="00BB21DF" w:rsidRPr="006140CD" w:rsidRDefault="00BB21DF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разходи за застраховки /средна застрахователна премия в размер на 0,3% от стойността на активите/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  - </w:t>
      </w:r>
      <w:r w:rsidR="004E5A6A">
        <w:rPr>
          <w:sz w:val="24"/>
          <w:szCs w:val="24"/>
          <w:lang w:val="bg-BG"/>
        </w:rPr>
        <w:t>33</w:t>
      </w:r>
      <w:r w:rsidRPr="006140CD">
        <w:rPr>
          <w:sz w:val="24"/>
          <w:szCs w:val="24"/>
          <w:lang w:val="bg-BG"/>
        </w:rPr>
        <w:t xml:space="preserve"> хил.лв.</w:t>
      </w:r>
    </w:p>
    <w:p w:rsidR="00BB21DF" w:rsidRPr="006140CD" w:rsidRDefault="00BB21DF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въоръжена и противопожарна охрана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  - 1</w:t>
      </w:r>
      <w:r w:rsidR="004E5A6A">
        <w:rPr>
          <w:sz w:val="24"/>
          <w:szCs w:val="24"/>
          <w:lang w:val="bg-BG"/>
        </w:rPr>
        <w:t>9</w:t>
      </w:r>
      <w:r w:rsidRPr="006140CD">
        <w:rPr>
          <w:sz w:val="24"/>
          <w:szCs w:val="24"/>
          <w:lang w:val="bg-BG"/>
        </w:rPr>
        <w:t xml:space="preserve"> хил.лв.</w:t>
      </w:r>
    </w:p>
    <w:p w:rsidR="00BB21DF" w:rsidRPr="006140CD" w:rsidRDefault="00BB21DF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данъци и такси 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  - </w:t>
      </w:r>
      <w:r w:rsidR="004E5A6A">
        <w:rPr>
          <w:sz w:val="24"/>
          <w:szCs w:val="24"/>
          <w:lang w:val="bg-BG"/>
        </w:rPr>
        <w:t>28</w:t>
      </w:r>
      <w:r w:rsidRPr="006140CD">
        <w:rPr>
          <w:sz w:val="24"/>
          <w:szCs w:val="24"/>
          <w:lang w:val="bg-BG"/>
        </w:rPr>
        <w:t xml:space="preserve"> хил.лв.</w:t>
      </w:r>
    </w:p>
    <w:p w:rsidR="00BB21DF" w:rsidRPr="006140CD" w:rsidRDefault="00BB21DF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други, описани в Справка №1 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  - </w:t>
      </w:r>
      <w:r w:rsidR="004E5A6A">
        <w:rPr>
          <w:sz w:val="24"/>
          <w:szCs w:val="24"/>
          <w:lang w:val="bg-BG"/>
        </w:rPr>
        <w:t>60</w:t>
      </w:r>
      <w:r w:rsidRPr="006140CD">
        <w:rPr>
          <w:sz w:val="24"/>
          <w:szCs w:val="24"/>
          <w:lang w:val="bg-BG"/>
        </w:rPr>
        <w:t xml:space="preserve"> хил.лв.</w:t>
      </w:r>
    </w:p>
    <w:p w:rsidR="00BB21DF" w:rsidRPr="00D91AD5" w:rsidRDefault="00BB21DF" w:rsidP="003F5A58">
      <w:pPr>
        <w:pStyle w:val="a3"/>
        <w:ind w:left="0"/>
        <w:jc w:val="both"/>
        <w:rPr>
          <w:sz w:val="10"/>
          <w:szCs w:val="10"/>
          <w:lang w:val="bg-BG"/>
        </w:rPr>
      </w:pPr>
    </w:p>
    <w:p w:rsidR="00BB21DF" w:rsidRPr="006140CD" w:rsidRDefault="00BB21DF" w:rsidP="003F5A58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1F052A" w:rsidRDefault="00BB21DF" w:rsidP="003F5A58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</w:p>
    <w:p w:rsidR="001F052A" w:rsidRPr="006A464F" w:rsidRDefault="001F052A" w:rsidP="001F052A">
      <w:pPr>
        <w:pStyle w:val="a3"/>
        <w:ind w:firstLine="360"/>
        <w:jc w:val="both"/>
        <w:rPr>
          <w:sz w:val="24"/>
          <w:szCs w:val="24"/>
          <w:lang w:val="bg-BG"/>
        </w:rPr>
      </w:pPr>
      <w:r w:rsidRPr="006A464F">
        <w:rPr>
          <w:sz w:val="24"/>
          <w:szCs w:val="24"/>
          <w:lang w:val="bg-BG"/>
        </w:rPr>
        <w:t xml:space="preserve">При определяне на капиталовата структура, сме се позовали 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ДКЕВР, според която: </w:t>
      </w:r>
      <w:r w:rsidRPr="006A464F">
        <w:rPr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</w:t>
      </w:r>
      <w:r w:rsidRPr="006A464F">
        <w:rPr>
          <w:sz w:val="24"/>
          <w:szCs w:val="24"/>
          <w:lang w:val="bg-BG"/>
        </w:rPr>
        <w:t>.</w:t>
      </w:r>
    </w:p>
    <w:p w:rsidR="000453A7" w:rsidRDefault="000453A7" w:rsidP="00A94920">
      <w:pPr>
        <w:pStyle w:val="a3"/>
        <w:ind w:firstLine="360"/>
        <w:jc w:val="both"/>
        <w:rPr>
          <w:sz w:val="24"/>
          <w:szCs w:val="24"/>
          <w:lang w:val="bg-BG"/>
        </w:rPr>
      </w:pPr>
    </w:p>
    <w:p w:rsidR="00A94920" w:rsidRDefault="00A94920" w:rsidP="00A94920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М.Май 2014год., Оранжерии Гимел АД рефинансира всички свои кредитни експозиции към СИБАНК АД и Интерлийз ЕАД от Уникредит Булбанк АД, в едно с извършените до момента самоучастия по проектите под формата на инвестиционен кредит. </w:t>
      </w:r>
    </w:p>
    <w:p w:rsidR="00A94920" w:rsidRDefault="00A94920" w:rsidP="00A94920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резултат с</w:t>
      </w:r>
      <w:r w:rsidRPr="006A464F">
        <w:rPr>
          <w:sz w:val="24"/>
          <w:szCs w:val="24"/>
          <w:lang w:val="bg-BG"/>
        </w:rPr>
        <w:t>труктурата за финансиране на ко- генерационната инсталация на</w:t>
      </w:r>
      <w:r>
        <w:rPr>
          <w:sz w:val="24"/>
          <w:szCs w:val="24"/>
          <w:lang w:val="bg-BG"/>
        </w:rPr>
        <w:t xml:space="preserve"> Оранжерии Гимел АД – ТЕЦ Оранжерия </w:t>
      </w:r>
      <w:r w:rsidR="006343FD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00 дка е както следва:</w:t>
      </w:r>
    </w:p>
    <w:p w:rsidR="00A94920" w:rsidRPr="006140CD" w:rsidRDefault="00A94920" w:rsidP="00A94920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договор за </w:t>
      </w:r>
      <w:r>
        <w:rPr>
          <w:sz w:val="24"/>
          <w:szCs w:val="24"/>
          <w:lang w:val="bg-BG"/>
        </w:rPr>
        <w:t>инвестиционен кредит №386/09.05.2014г.</w:t>
      </w:r>
      <w:r w:rsidRPr="006140C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обща стойност 10757,065 хил.лв., от които </w:t>
      </w:r>
      <w:r w:rsidR="006343FD">
        <w:rPr>
          <w:sz w:val="24"/>
          <w:szCs w:val="24"/>
          <w:lang w:val="bg-BG"/>
        </w:rPr>
        <w:t xml:space="preserve">4902,210 </w:t>
      </w:r>
      <w:r>
        <w:rPr>
          <w:sz w:val="24"/>
          <w:szCs w:val="24"/>
          <w:lang w:val="bg-BG"/>
        </w:rPr>
        <w:t xml:space="preserve"> хил.лв. рефинансиране на инвестиционни плащания по ТЕЦ Оранжерия </w:t>
      </w:r>
      <w:r w:rsidR="006343FD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00 дка</w:t>
      </w:r>
      <w:r w:rsidRPr="006140CD">
        <w:rPr>
          <w:sz w:val="24"/>
          <w:szCs w:val="24"/>
          <w:lang w:val="bg-BG"/>
        </w:rPr>
        <w:t>, при следните финансови условия:</w:t>
      </w:r>
    </w:p>
    <w:p w:rsidR="00A94920" w:rsidRPr="006140CD" w:rsidRDefault="00A94920" w:rsidP="00A9492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годишен лихвен процент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>
        <w:rPr>
          <w:sz w:val="24"/>
          <w:szCs w:val="24"/>
          <w:lang w:val="bg-BG"/>
        </w:rPr>
        <w:t>4,83%</w:t>
      </w:r>
    </w:p>
    <w:p w:rsidR="00A94920" w:rsidRDefault="00A94920" w:rsidP="00A9492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годишна такса управление</w:t>
      </w:r>
      <w:r w:rsidRPr="006140C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>0,5</w:t>
      </w:r>
      <w:r w:rsidRPr="006140CD">
        <w:rPr>
          <w:sz w:val="24"/>
          <w:szCs w:val="24"/>
          <w:lang w:val="bg-BG"/>
        </w:rPr>
        <w:t>%</w:t>
      </w:r>
    </w:p>
    <w:p w:rsidR="00A94920" w:rsidRPr="0094426D" w:rsidRDefault="00A94920" w:rsidP="00A94920">
      <w:pPr>
        <w:pStyle w:val="a3"/>
        <w:numPr>
          <w:ilvl w:val="0"/>
          <w:numId w:val="11"/>
        </w:numPr>
        <w:jc w:val="both"/>
        <w:rPr>
          <w:b/>
          <w:sz w:val="24"/>
          <w:szCs w:val="24"/>
          <w:lang w:val="bg-BG"/>
        </w:rPr>
      </w:pPr>
      <w:r w:rsidRPr="0094426D">
        <w:rPr>
          <w:b/>
          <w:sz w:val="24"/>
          <w:szCs w:val="24"/>
          <w:lang w:val="bg-BG"/>
        </w:rPr>
        <w:t>годишен процент на разходите /ГПР/</w:t>
      </w:r>
      <w:r w:rsidRPr="0094426D">
        <w:rPr>
          <w:b/>
          <w:sz w:val="24"/>
          <w:szCs w:val="24"/>
          <w:lang w:val="bg-BG"/>
        </w:rPr>
        <w:tab/>
        <w:t>- 5,33%</w:t>
      </w:r>
    </w:p>
    <w:p w:rsidR="00A94920" w:rsidRPr="00054E9A" w:rsidRDefault="00A94920" w:rsidP="00A9492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срок на изплащане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>
        <w:rPr>
          <w:sz w:val="24"/>
          <w:szCs w:val="24"/>
          <w:lang w:val="bg-BG"/>
        </w:rPr>
        <w:t>12</w:t>
      </w:r>
      <w:r w:rsidRPr="006140CD">
        <w:rPr>
          <w:sz w:val="24"/>
          <w:szCs w:val="24"/>
          <w:lang w:val="bg-BG"/>
        </w:rPr>
        <w:t>0 месеца.</w:t>
      </w:r>
    </w:p>
    <w:p w:rsidR="006343FD" w:rsidRDefault="00A94920" w:rsidP="00A94920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собствен капитал</w:t>
      </w:r>
      <w:r>
        <w:rPr>
          <w:sz w:val="24"/>
          <w:szCs w:val="24"/>
          <w:lang w:val="bg-BG"/>
        </w:rPr>
        <w:t xml:space="preserve"> в проекта</w:t>
      </w:r>
      <w:r w:rsidRPr="006140CD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 xml:space="preserve">- 0 лева. </w:t>
      </w:r>
    </w:p>
    <w:p w:rsidR="00A94920" w:rsidRPr="006140CD" w:rsidRDefault="00A94920" w:rsidP="006343FD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Собственото участие в проекта, както бе описано по- горе бе рефинансирано от Уникредит Булбанк АД.</w:t>
      </w:r>
    </w:p>
    <w:p w:rsidR="00A94920" w:rsidRPr="006140CD" w:rsidRDefault="00A94920" w:rsidP="00A94920">
      <w:pPr>
        <w:pStyle w:val="a3"/>
        <w:jc w:val="both"/>
        <w:rPr>
          <w:sz w:val="24"/>
          <w:szCs w:val="24"/>
          <w:lang w:val="bg-BG"/>
        </w:rPr>
      </w:pPr>
    </w:p>
    <w:p w:rsidR="00A94920" w:rsidRPr="006140CD" w:rsidRDefault="00A94920" w:rsidP="00A9492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При така зададените изходни параметри, съгласно Справка №3 (Приложение №3) Нормата на възвръщаемост за 201</w:t>
      </w:r>
      <w:r>
        <w:rPr>
          <w:sz w:val="24"/>
          <w:szCs w:val="24"/>
          <w:lang w:val="bg-BG"/>
        </w:rPr>
        <w:t>5</w:t>
      </w:r>
      <w:r w:rsidRPr="006140CD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/2016г.</w:t>
      </w:r>
      <w:r w:rsidRPr="006140CD">
        <w:rPr>
          <w:sz w:val="24"/>
          <w:szCs w:val="24"/>
          <w:lang w:val="bg-BG"/>
        </w:rPr>
        <w:t xml:space="preserve"> – </w:t>
      </w:r>
      <w:r>
        <w:rPr>
          <w:sz w:val="24"/>
          <w:szCs w:val="24"/>
          <w:lang w:val="bg-BG"/>
        </w:rPr>
        <w:t>5</w:t>
      </w:r>
      <w:r w:rsidRPr="006140CD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>33</w:t>
      </w:r>
      <w:r w:rsidRPr="006140CD">
        <w:rPr>
          <w:sz w:val="24"/>
          <w:szCs w:val="24"/>
          <w:lang w:val="bg-BG"/>
        </w:rPr>
        <w:t>%, или:</w:t>
      </w:r>
    </w:p>
    <w:p w:rsidR="00BB21DF" w:rsidRPr="006140CD" w:rsidRDefault="00BB21DF" w:rsidP="00A94920">
      <w:pPr>
        <w:pStyle w:val="a3"/>
        <w:ind w:left="0"/>
        <w:jc w:val="both"/>
        <w:rPr>
          <w:sz w:val="24"/>
          <w:szCs w:val="24"/>
          <w:lang w:val="bg-BG"/>
        </w:rPr>
      </w:pPr>
    </w:p>
    <w:tbl>
      <w:tblPr>
        <w:tblW w:w="10171" w:type="dxa"/>
        <w:jc w:val="center"/>
        <w:tblInd w:w="85" w:type="dxa"/>
        <w:tblLook w:val="0000"/>
      </w:tblPr>
      <w:tblGrid>
        <w:gridCol w:w="442"/>
        <w:gridCol w:w="4460"/>
        <w:gridCol w:w="1369"/>
        <w:gridCol w:w="1760"/>
        <w:gridCol w:w="2140"/>
      </w:tblGrid>
      <w:tr w:rsidR="00BB21DF" w:rsidRPr="006140CD" w:rsidTr="009F5CF9">
        <w:trPr>
          <w:trHeight w:val="600"/>
          <w:jc w:val="center"/>
        </w:trPr>
        <w:tc>
          <w:tcPr>
            <w:tcW w:w="44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Описание</w:t>
            </w:r>
          </w:p>
        </w:tc>
        <w:tc>
          <w:tcPr>
            <w:tcW w:w="136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1DF" w:rsidRPr="006140CD" w:rsidRDefault="00BB21DF" w:rsidP="00EC3C8C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 xml:space="preserve">Към </w:t>
            </w:r>
            <w:r w:rsidRPr="006140CD">
              <w:rPr>
                <w:lang w:val="bg-BG"/>
              </w:rPr>
              <w:br/>
              <w:t>31.12.201</w:t>
            </w:r>
            <w:r w:rsidR="00EC3C8C">
              <w:t>3</w:t>
            </w:r>
            <w:r w:rsidRPr="006140CD">
              <w:rPr>
                <w:lang w:val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BB21DF" w:rsidRPr="006140CD" w:rsidRDefault="00BB21DF" w:rsidP="00EC3C8C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ПРОГНОЗА към 31.12.201</w:t>
            </w:r>
            <w:r w:rsidR="00EC3C8C">
              <w:t>4</w:t>
            </w:r>
            <w:r w:rsidRPr="006140CD">
              <w:rPr>
                <w:lang w:val="bg-BG"/>
              </w:rPr>
              <w:t xml:space="preserve"> г.</w:t>
            </w:r>
          </w:p>
        </w:tc>
      </w:tr>
      <w:tr w:rsidR="00BB21DF" w:rsidRPr="006140CD" w:rsidTr="009F5CF9">
        <w:trPr>
          <w:trHeight w:val="25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CCFFCC"/>
            <w:vAlign w:val="center"/>
          </w:tcPr>
          <w:p w:rsidR="00BB21DF" w:rsidRPr="006140CD" w:rsidRDefault="00BB21DF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5</w:t>
            </w:r>
          </w:p>
        </w:tc>
      </w:tr>
      <w:tr w:rsidR="00170413" w:rsidRPr="006140CD" w:rsidTr="00170413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Собствен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1 815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</w:p>
        </w:tc>
      </w:tr>
      <w:tr w:rsidR="00170413" w:rsidRPr="006140CD" w:rsidTr="00170413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Дял на собствения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34,02%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</w:p>
        </w:tc>
      </w:tr>
      <w:tr w:rsidR="00170413" w:rsidRPr="006140CD" w:rsidTr="00170413">
        <w:trPr>
          <w:trHeight w:val="34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Норма на възвръщаемост на собствения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4,00%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</w:p>
        </w:tc>
      </w:tr>
      <w:tr w:rsidR="00170413" w:rsidRPr="006140CD" w:rsidTr="00170413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 xml:space="preserve">Привлечен капитал, в т. ч.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3 520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4 902</w:t>
            </w:r>
          </w:p>
        </w:tc>
      </w:tr>
      <w:tr w:rsidR="00170413" w:rsidRPr="006140CD" w:rsidTr="00170413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 xml:space="preserve"> - договори за финансов лизинг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</w:p>
        </w:tc>
      </w:tr>
      <w:tr w:rsidR="00170413" w:rsidRPr="006140CD" w:rsidTr="00170413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 xml:space="preserve"> - кредити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3 520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4 902</w:t>
            </w:r>
          </w:p>
        </w:tc>
      </w:tr>
      <w:tr w:rsidR="00170413" w:rsidRPr="006140CD" w:rsidTr="00170413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Дял на привлечения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65,98%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100,00%</w:t>
            </w:r>
          </w:p>
        </w:tc>
      </w:tr>
      <w:tr w:rsidR="00170413" w:rsidRPr="006140CD" w:rsidTr="00170413">
        <w:trPr>
          <w:trHeight w:val="6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6,00%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5,33%</w:t>
            </w:r>
          </w:p>
        </w:tc>
      </w:tr>
      <w:tr w:rsidR="00170413" w:rsidRPr="006140CD" w:rsidTr="00170413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Данъчни задължения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10,00%</w:t>
            </w:r>
          </w:p>
        </w:tc>
      </w:tr>
      <w:tr w:rsidR="00170413" w:rsidRPr="006140CD" w:rsidTr="00170413">
        <w:trPr>
          <w:trHeight w:val="27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bottom"/>
          </w:tcPr>
          <w:p w:rsidR="00170413" w:rsidRPr="006140CD" w:rsidRDefault="00170413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НОРМА НА ВЪЗВРЪЩАЕМОСТ</w:t>
            </w:r>
          </w:p>
        </w:tc>
        <w:tc>
          <w:tcPr>
            <w:tcW w:w="13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70413" w:rsidRPr="006140CD" w:rsidRDefault="00170413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5,47%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:rsidR="00170413" w:rsidRPr="00170413" w:rsidRDefault="00170413" w:rsidP="00170413">
            <w:pPr>
              <w:spacing w:after="0" w:line="240" w:lineRule="auto"/>
              <w:jc w:val="center"/>
              <w:rPr>
                <w:lang w:val="bg-BG"/>
              </w:rPr>
            </w:pPr>
            <w:r w:rsidRPr="00170413">
              <w:rPr>
                <w:lang w:val="bg-BG"/>
              </w:rPr>
              <w:t>5,33%</w:t>
            </w:r>
          </w:p>
        </w:tc>
      </w:tr>
    </w:tbl>
    <w:p w:rsidR="00BB21DF" w:rsidRDefault="00BB21DF" w:rsidP="00BE559F">
      <w:pPr>
        <w:pStyle w:val="a3"/>
        <w:ind w:left="1080"/>
        <w:jc w:val="both"/>
        <w:rPr>
          <w:lang w:val="bg-BG"/>
        </w:rPr>
      </w:pPr>
    </w:p>
    <w:p w:rsidR="00ED6AAC" w:rsidRDefault="00ED6AAC" w:rsidP="00BE559F">
      <w:pPr>
        <w:pStyle w:val="a3"/>
        <w:ind w:left="1080"/>
        <w:jc w:val="both"/>
        <w:rPr>
          <w:lang w:val="bg-BG"/>
        </w:rPr>
      </w:pPr>
    </w:p>
    <w:p w:rsidR="00ED6AAC" w:rsidRDefault="00ED6AAC" w:rsidP="00BE559F">
      <w:pPr>
        <w:pStyle w:val="a3"/>
        <w:ind w:left="1080"/>
        <w:jc w:val="both"/>
        <w:rPr>
          <w:lang w:val="bg-BG"/>
        </w:rPr>
      </w:pPr>
    </w:p>
    <w:p w:rsidR="00ED6AAC" w:rsidRPr="006140CD" w:rsidRDefault="00ED6AAC" w:rsidP="00BE559F">
      <w:pPr>
        <w:pStyle w:val="a3"/>
        <w:ind w:left="1080"/>
        <w:jc w:val="both"/>
        <w:rPr>
          <w:lang w:val="bg-BG"/>
        </w:rPr>
      </w:pPr>
    </w:p>
    <w:p w:rsidR="00BB21DF" w:rsidRPr="006140CD" w:rsidRDefault="00BB21DF" w:rsidP="00BE559F">
      <w:pPr>
        <w:pStyle w:val="a3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Изп.директор: …………………………………….</w:t>
      </w:r>
    </w:p>
    <w:p w:rsidR="00BB21DF" w:rsidRPr="006140CD" w:rsidRDefault="00BB21DF" w:rsidP="00BE559F">
      <w:pPr>
        <w:pStyle w:val="a3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/Марин Генуров/</w:t>
      </w:r>
    </w:p>
    <w:sectPr w:rsidR="00BB21DF" w:rsidRPr="006140CD" w:rsidSect="00187AFD">
      <w:footerReference w:type="even" r:id="rId7"/>
      <w:footerReference w:type="default" r:id="rId8"/>
      <w:pgSz w:w="11906" w:h="16838" w:code="9"/>
      <w:pgMar w:top="1079" w:right="1133" w:bottom="1079" w:left="851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4CF" w:rsidRDefault="009674CF">
      <w:r>
        <w:separator/>
      </w:r>
    </w:p>
  </w:endnote>
  <w:endnote w:type="continuationSeparator" w:id="0">
    <w:p w:rsidR="009674CF" w:rsidRDefault="0096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1DF" w:rsidRDefault="006D7E3B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B21D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21DF" w:rsidRDefault="00BB21DF" w:rsidP="00492A3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1DF" w:rsidRDefault="006D7E3B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B21D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3C8C">
      <w:rPr>
        <w:rStyle w:val="a6"/>
        <w:noProof/>
      </w:rPr>
      <w:t>7</w:t>
    </w:r>
    <w:r>
      <w:rPr>
        <w:rStyle w:val="a6"/>
      </w:rPr>
      <w:fldChar w:fldCharType="end"/>
    </w:r>
  </w:p>
  <w:p w:rsidR="00BB21DF" w:rsidRDefault="00BB21DF" w:rsidP="00492A3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4CF" w:rsidRDefault="009674CF">
      <w:r>
        <w:separator/>
      </w:r>
    </w:p>
  </w:footnote>
  <w:footnote w:type="continuationSeparator" w:id="0">
    <w:p w:rsidR="009674CF" w:rsidRDefault="0096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2F3"/>
    <w:rsid w:val="0000028E"/>
    <w:rsid w:val="000006A5"/>
    <w:rsid w:val="00004B26"/>
    <w:rsid w:val="00012EBD"/>
    <w:rsid w:val="000301B3"/>
    <w:rsid w:val="00032FA6"/>
    <w:rsid w:val="00033C98"/>
    <w:rsid w:val="000453A7"/>
    <w:rsid w:val="00072DDB"/>
    <w:rsid w:val="0009240A"/>
    <w:rsid w:val="0009576B"/>
    <w:rsid w:val="00097CD4"/>
    <w:rsid w:val="000B1A56"/>
    <w:rsid w:val="000B33F4"/>
    <w:rsid w:val="000C7407"/>
    <w:rsid w:val="000C7E7F"/>
    <w:rsid w:val="000D1B15"/>
    <w:rsid w:val="000D2CB2"/>
    <w:rsid w:val="000F50BA"/>
    <w:rsid w:val="000F7EA8"/>
    <w:rsid w:val="00105875"/>
    <w:rsid w:val="00112422"/>
    <w:rsid w:val="001266BE"/>
    <w:rsid w:val="001361B2"/>
    <w:rsid w:val="001404F8"/>
    <w:rsid w:val="00140970"/>
    <w:rsid w:val="00143869"/>
    <w:rsid w:val="001558E9"/>
    <w:rsid w:val="00155B72"/>
    <w:rsid w:val="00161115"/>
    <w:rsid w:val="00162118"/>
    <w:rsid w:val="00170413"/>
    <w:rsid w:val="001732C5"/>
    <w:rsid w:val="00185D5D"/>
    <w:rsid w:val="00187AFD"/>
    <w:rsid w:val="00193883"/>
    <w:rsid w:val="001A2060"/>
    <w:rsid w:val="001C14AB"/>
    <w:rsid w:val="001D0976"/>
    <w:rsid w:val="001D31B5"/>
    <w:rsid w:val="001D3B71"/>
    <w:rsid w:val="001E362F"/>
    <w:rsid w:val="001F052A"/>
    <w:rsid w:val="001F5613"/>
    <w:rsid w:val="00200DC9"/>
    <w:rsid w:val="00201731"/>
    <w:rsid w:val="002025B2"/>
    <w:rsid w:val="00211894"/>
    <w:rsid w:val="00216ECF"/>
    <w:rsid w:val="002330B5"/>
    <w:rsid w:val="00246FE5"/>
    <w:rsid w:val="00252CF6"/>
    <w:rsid w:val="00271097"/>
    <w:rsid w:val="00294B4F"/>
    <w:rsid w:val="002A05DC"/>
    <w:rsid w:val="002A2BFD"/>
    <w:rsid w:val="002B0235"/>
    <w:rsid w:val="002B02F2"/>
    <w:rsid w:val="002C2618"/>
    <w:rsid w:val="002C67B8"/>
    <w:rsid w:val="002D0441"/>
    <w:rsid w:val="002D2748"/>
    <w:rsid w:val="002D3319"/>
    <w:rsid w:val="002D66E3"/>
    <w:rsid w:val="00350FCF"/>
    <w:rsid w:val="0036009B"/>
    <w:rsid w:val="00362E42"/>
    <w:rsid w:val="00371742"/>
    <w:rsid w:val="003737E3"/>
    <w:rsid w:val="003769BE"/>
    <w:rsid w:val="003864BD"/>
    <w:rsid w:val="0039236E"/>
    <w:rsid w:val="003961B8"/>
    <w:rsid w:val="003A4CF8"/>
    <w:rsid w:val="003A7E25"/>
    <w:rsid w:val="003B429F"/>
    <w:rsid w:val="003C0FAC"/>
    <w:rsid w:val="003D7325"/>
    <w:rsid w:val="003F5A58"/>
    <w:rsid w:val="0040390F"/>
    <w:rsid w:val="00411305"/>
    <w:rsid w:val="00423EF5"/>
    <w:rsid w:val="00431C57"/>
    <w:rsid w:val="00440E35"/>
    <w:rsid w:val="00442281"/>
    <w:rsid w:val="00444652"/>
    <w:rsid w:val="00453931"/>
    <w:rsid w:val="00462FCD"/>
    <w:rsid w:val="00466862"/>
    <w:rsid w:val="0047032F"/>
    <w:rsid w:val="004707EF"/>
    <w:rsid w:val="004827A4"/>
    <w:rsid w:val="00487521"/>
    <w:rsid w:val="00492A3D"/>
    <w:rsid w:val="00496283"/>
    <w:rsid w:val="00496497"/>
    <w:rsid w:val="004B1B8B"/>
    <w:rsid w:val="004C712C"/>
    <w:rsid w:val="004D06AB"/>
    <w:rsid w:val="004D27BF"/>
    <w:rsid w:val="004D59B7"/>
    <w:rsid w:val="004E5A6A"/>
    <w:rsid w:val="004E77DD"/>
    <w:rsid w:val="004F30C7"/>
    <w:rsid w:val="00502D30"/>
    <w:rsid w:val="00503C33"/>
    <w:rsid w:val="00506711"/>
    <w:rsid w:val="00516323"/>
    <w:rsid w:val="00532429"/>
    <w:rsid w:val="00533F11"/>
    <w:rsid w:val="00536583"/>
    <w:rsid w:val="0055008A"/>
    <w:rsid w:val="0055336D"/>
    <w:rsid w:val="005618FC"/>
    <w:rsid w:val="00561CF3"/>
    <w:rsid w:val="00563381"/>
    <w:rsid w:val="0058089A"/>
    <w:rsid w:val="005A5994"/>
    <w:rsid w:val="005D68BE"/>
    <w:rsid w:val="005D6BD1"/>
    <w:rsid w:val="005E271D"/>
    <w:rsid w:val="005F39F8"/>
    <w:rsid w:val="005F5D89"/>
    <w:rsid w:val="005F606E"/>
    <w:rsid w:val="0060069A"/>
    <w:rsid w:val="00600B3F"/>
    <w:rsid w:val="006042F3"/>
    <w:rsid w:val="00605AF6"/>
    <w:rsid w:val="006140CD"/>
    <w:rsid w:val="00617B66"/>
    <w:rsid w:val="0062098B"/>
    <w:rsid w:val="00621CA3"/>
    <w:rsid w:val="006343FD"/>
    <w:rsid w:val="00634E02"/>
    <w:rsid w:val="0063630C"/>
    <w:rsid w:val="00643E2A"/>
    <w:rsid w:val="006525CF"/>
    <w:rsid w:val="00665E63"/>
    <w:rsid w:val="00677CC2"/>
    <w:rsid w:val="00685DCC"/>
    <w:rsid w:val="0069206F"/>
    <w:rsid w:val="006B1D1B"/>
    <w:rsid w:val="006B7FD4"/>
    <w:rsid w:val="006C0E86"/>
    <w:rsid w:val="006D64FB"/>
    <w:rsid w:val="006D7E3B"/>
    <w:rsid w:val="006F1E40"/>
    <w:rsid w:val="006F27BD"/>
    <w:rsid w:val="00704FC9"/>
    <w:rsid w:val="00730ABD"/>
    <w:rsid w:val="00746296"/>
    <w:rsid w:val="007533B1"/>
    <w:rsid w:val="0076236C"/>
    <w:rsid w:val="00762433"/>
    <w:rsid w:val="00792F6F"/>
    <w:rsid w:val="007A1974"/>
    <w:rsid w:val="007B2AF0"/>
    <w:rsid w:val="007B5DCA"/>
    <w:rsid w:val="007C3FE4"/>
    <w:rsid w:val="007C4D11"/>
    <w:rsid w:val="007C53DB"/>
    <w:rsid w:val="007C595F"/>
    <w:rsid w:val="007C6B19"/>
    <w:rsid w:val="007E23F3"/>
    <w:rsid w:val="007E6CEB"/>
    <w:rsid w:val="007F5B15"/>
    <w:rsid w:val="0081208E"/>
    <w:rsid w:val="00834A9E"/>
    <w:rsid w:val="00835456"/>
    <w:rsid w:val="00840B78"/>
    <w:rsid w:val="0086415D"/>
    <w:rsid w:val="00864BA0"/>
    <w:rsid w:val="00871CAA"/>
    <w:rsid w:val="008828D2"/>
    <w:rsid w:val="008B5B10"/>
    <w:rsid w:val="008C5182"/>
    <w:rsid w:val="008C668D"/>
    <w:rsid w:val="008D4B26"/>
    <w:rsid w:val="008D71D8"/>
    <w:rsid w:val="008D73B1"/>
    <w:rsid w:val="008E247B"/>
    <w:rsid w:val="008F3B56"/>
    <w:rsid w:val="00902B1D"/>
    <w:rsid w:val="00904A75"/>
    <w:rsid w:val="0090666C"/>
    <w:rsid w:val="009105B4"/>
    <w:rsid w:val="00913D41"/>
    <w:rsid w:val="0091506B"/>
    <w:rsid w:val="00915C04"/>
    <w:rsid w:val="00942B66"/>
    <w:rsid w:val="00947321"/>
    <w:rsid w:val="00950350"/>
    <w:rsid w:val="00950926"/>
    <w:rsid w:val="0095568B"/>
    <w:rsid w:val="009674CF"/>
    <w:rsid w:val="009B47AA"/>
    <w:rsid w:val="009B4E7D"/>
    <w:rsid w:val="009D26CE"/>
    <w:rsid w:val="009E2712"/>
    <w:rsid w:val="009E5FB6"/>
    <w:rsid w:val="009E7E76"/>
    <w:rsid w:val="009F5CF9"/>
    <w:rsid w:val="00A05B01"/>
    <w:rsid w:val="00A06727"/>
    <w:rsid w:val="00A1417A"/>
    <w:rsid w:val="00A17EBC"/>
    <w:rsid w:val="00A34DA6"/>
    <w:rsid w:val="00A42A53"/>
    <w:rsid w:val="00A507D8"/>
    <w:rsid w:val="00A5274E"/>
    <w:rsid w:val="00A5798C"/>
    <w:rsid w:val="00A57EAB"/>
    <w:rsid w:val="00A612B8"/>
    <w:rsid w:val="00A67EF3"/>
    <w:rsid w:val="00A710D0"/>
    <w:rsid w:val="00A73CDC"/>
    <w:rsid w:val="00A82279"/>
    <w:rsid w:val="00A94920"/>
    <w:rsid w:val="00A95A76"/>
    <w:rsid w:val="00AA792B"/>
    <w:rsid w:val="00AB1FE7"/>
    <w:rsid w:val="00AB4130"/>
    <w:rsid w:val="00AC2486"/>
    <w:rsid w:val="00AC720F"/>
    <w:rsid w:val="00AE194A"/>
    <w:rsid w:val="00B07631"/>
    <w:rsid w:val="00B24C03"/>
    <w:rsid w:val="00B34327"/>
    <w:rsid w:val="00B35834"/>
    <w:rsid w:val="00B53214"/>
    <w:rsid w:val="00B55148"/>
    <w:rsid w:val="00B60749"/>
    <w:rsid w:val="00B633DD"/>
    <w:rsid w:val="00B91B66"/>
    <w:rsid w:val="00BA6DB6"/>
    <w:rsid w:val="00BA722F"/>
    <w:rsid w:val="00BB21DF"/>
    <w:rsid w:val="00BC2B02"/>
    <w:rsid w:val="00BD604B"/>
    <w:rsid w:val="00BE145F"/>
    <w:rsid w:val="00BE1AA2"/>
    <w:rsid w:val="00BE559F"/>
    <w:rsid w:val="00BF022A"/>
    <w:rsid w:val="00C11CFA"/>
    <w:rsid w:val="00C20B91"/>
    <w:rsid w:val="00C250DE"/>
    <w:rsid w:val="00C70AB2"/>
    <w:rsid w:val="00C90723"/>
    <w:rsid w:val="00C9521C"/>
    <w:rsid w:val="00C96B48"/>
    <w:rsid w:val="00CA0C29"/>
    <w:rsid w:val="00CA11C9"/>
    <w:rsid w:val="00CC0ED9"/>
    <w:rsid w:val="00CC3022"/>
    <w:rsid w:val="00CC5DAE"/>
    <w:rsid w:val="00CE4942"/>
    <w:rsid w:val="00CF42F9"/>
    <w:rsid w:val="00D05B6F"/>
    <w:rsid w:val="00D179DF"/>
    <w:rsid w:val="00D20A30"/>
    <w:rsid w:val="00D53254"/>
    <w:rsid w:val="00D631AD"/>
    <w:rsid w:val="00D81615"/>
    <w:rsid w:val="00D909A3"/>
    <w:rsid w:val="00D91AD5"/>
    <w:rsid w:val="00D94A61"/>
    <w:rsid w:val="00D95D08"/>
    <w:rsid w:val="00DA14DF"/>
    <w:rsid w:val="00DA707A"/>
    <w:rsid w:val="00DB214C"/>
    <w:rsid w:val="00DB2EEC"/>
    <w:rsid w:val="00DB3696"/>
    <w:rsid w:val="00DC069E"/>
    <w:rsid w:val="00DD1790"/>
    <w:rsid w:val="00DF0D36"/>
    <w:rsid w:val="00DF1647"/>
    <w:rsid w:val="00DF41A8"/>
    <w:rsid w:val="00E05050"/>
    <w:rsid w:val="00E103A7"/>
    <w:rsid w:val="00E11D1C"/>
    <w:rsid w:val="00E44D04"/>
    <w:rsid w:val="00E53780"/>
    <w:rsid w:val="00E66906"/>
    <w:rsid w:val="00E71350"/>
    <w:rsid w:val="00E81878"/>
    <w:rsid w:val="00EA0B05"/>
    <w:rsid w:val="00EB3980"/>
    <w:rsid w:val="00EB4C9C"/>
    <w:rsid w:val="00EB7DE9"/>
    <w:rsid w:val="00EC3C8C"/>
    <w:rsid w:val="00EC7AE8"/>
    <w:rsid w:val="00ED6AAC"/>
    <w:rsid w:val="00EE5F2E"/>
    <w:rsid w:val="00EF09DD"/>
    <w:rsid w:val="00EF7C18"/>
    <w:rsid w:val="00F06C7E"/>
    <w:rsid w:val="00F108E2"/>
    <w:rsid w:val="00F114BF"/>
    <w:rsid w:val="00F27610"/>
    <w:rsid w:val="00F51025"/>
    <w:rsid w:val="00F70E10"/>
    <w:rsid w:val="00F8620A"/>
    <w:rsid w:val="00F8762A"/>
    <w:rsid w:val="00F902F9"/>
    <w:rsid w:val="00F9199A"/>
    <w:rsid w:val="00F94430"/>
    <w:rsid w:val="00F94A5D"/>
    <w:rsid w:val="00FB6FCF"/>
    <w:rsid w:val="00FD3D54"/>
    <w:rsid w:val="00FD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FB6"/>
    <w:pPr>
      <w:ind w:left="720"/>
      <w:contextualSpacing/>
    </w:pPr>
  </w:style>
  <w:style w:type="paragraph" w:styleId="a4">
    <w:name w:val="footer"/>
    <w:basedOn w:val="a"/>
    <w:link w:val="a5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Долен колонтитул Знак"/>
    <w:link w:val="a4"/>
    <w:uiPriority w:val="99"/>
    <w:semiHidden/>
    <w:locked/>
    <w:rsid w:val="00A67EF3"/>
    <w:rPr>
      <w:rFonts w:cs="Times New Roman"/>
      <w:lang w:val="en-US" w:eastAsia="en-US"/>
    </w:rPr>
  </w:style>
  <w:style w:type="character" w:styleId="a6">
    <w:name w:val="page number"/>
    <w:uiPriority w:val="99"/>
    <w:rsid w:val="00492A3D"/>
    <w:rPr>
      <w:rFonts w:cs="Times New Roman"/>
    </w:rPr>
  </w:style>
  <w:style w:type="paragraph" w:styleId="a7">
    <w:name w:val="endnote text"/>
    <w:basedOn w:val="a"/>
    <w:link w:val="a8"/>
    <w:uiPriority w:val="99"/>
    <w:semiHidden/>
    <w:rsid w:val="00A1417A"/>
    <w:rPr>
      <w:sz w:val="20"/>
      <w:szCs w:val="20"/>
      <w:lang/>
    </w:rPr>
  </w:style>
  <w:style w:type="character" w:customStyle="1" w:styleId="a8">
    <w:name w:val="Текст на бележка в края Знак"/>
    <w:link w:val="a7"/>
    <w:uiPriority w:val="99"/>
    <w:semiHidden/>
    <w:locked/>
    <w:rsid w:val="00A1417A"/>
    <w:rPr>
      <w:rFonts w:cs="Times New Roman"/>
      <w:lang w:eastAsia="en-US"/>
    </w:rPr>
  </w:style>
  <w:style w:type="character" w:styleId="a9">
    <w:name w:val="endnote reference"/>
    <w:uiPriority w:val="99"/>
    <w:semiHidden/>
    <w:rsid w:val="00A1417A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A1417A"/>
    <w:rPr>
      <w:sz w:val="20"/>
      <w:szCs w:val="20"/>
      <w:lang/>
    </w:rPr>
  </w:style>
  <w:style w:type="character" w:customStyle="1" w:styleId="ab">
    <w:name w:val="Текст под линия Знак"/>
    <w:link w:val="aa"/>
    <w:uiPriority w:val="99"/>
    <w:semiHidden/>
    <w:locked/>
    <w:rsid w:val="00A1417A"/>
    <w:rPr>
      <w:rFonts w:cs="Times New Roman"/>
      <w:lang w:eastAsia="en-US"/>
    </w:rPr>
  </w:style>
  <w:style w:type="character" w:styleId="ac">
    <w:name w:val="footnote reference"/>
    <w:uiPriority w:val="99"/>
    <w:semiHidden/>
    <w:rsid w:val="00A1417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6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ТЕХНИКО – ИКОНОМИЧЕСКА ОБОСНОВКА</vt:lpstr>
    </vt:vector>
  </TitlesOfParts>
  <Company/>
  <LinksUpToDate>false</LinksUpToDate>
  <CharactersWithSpaces>13118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Computer</cp:lastModifiedBy>
  <cp:revision>215</cp:revision>
  <cp:lastPrinted>2015-04-21T13:02:00Z</cp:lastPrinted>
  <dcterms:created xsi:type="dcterms:W3CDTF">2012-09-26T07:44:00Z</dcterms:created>
  <dcterms:modified xsi:type="dcterms:W3CDTF">2015-04-21T13:03:00Z</dcterms:modified>
</cp:coreProperties>
</file>